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Implementasi dan Kendala Perlindungan Hukum Konsumen dalam Transaksi E-Commerce di Provinsi Papua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Menase Kadepa</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menase@ukipaulus.ac.id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consumer protection, e-commerce, social commerce, digital literacy, dispute resolution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perlindungan konsumen, e-commerce, social commerce, literasi digital, penyelesaian sengketa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E-commerce has reached Papua Province, yet consumers there face structural vulnerabilities that differ from those in other regions. This study examines how legal protection for consumers in e-commerce transactions is implemented in Papua Province and the obstacles that constrain it. The research is normative-empirical legal research with a descriptive qualitative design; data were collected through interviews with provincial agencies responsible for investment licensing and for communication and informatics, together with business operators and community figures, complemented by document study and library research. The findings show that preventive protection has been carried out mainly through digital literacy programmes, outreach, and supervision, while repressive protection remains weak. Four obstacles recur: limited digital infrastructure and low digital literacy, weak legality of business operators and limited supervision, protracted dispute resolution with restricted access to justice, and consumer misunderstanding of the cash-on-delivery payment mechanism. The study argues that the core problem is not an absence of norms but a gap between recent regulatory instruments and their local institutional support, and proposes strengthening the provincial consumer dispute body alongside supervision of social commerce.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Transaksi e-commerce telah menjangkau Provinsi Papua, namun konsumen di wilayah tersebut menghadapi kerentanan struktural yang berbeda dari daerah lain. Penelitian ini mengkaji implementasi perlindungan hukum bagi konsumen dalam transaksi e-commerce di Provinsi Papua beserta kendala yang membatasinya. Penelitian merupakan penelitian hukum normatif-empiris yang bersifat deskriptif-kualitatif; data dihimpun melalui wawancara dengan dinas yang membidangi penanaman modal dan pelayanan perizinan serta komunikasi dan informatika, bersama pelaku usaha dan tokoh masyarakat, dilengkapi studi dokumen dan penelitian kepustakaan. Hasil penelitian menunjukkan bahwa perlindungan preventif telah dijalankan terutama melalui program literasi digital, sosialisasi, dan pengawasan, sedangkan perlindungan represif masih lemah. Terdapat empat kendala yang berulang, yaitu keterbatasan infrastruktur digital dan rendahnya literasi digital, lemahnya legalitas pelaku usaha dan pengawasan pemerintah, lamanya penyelesaian sengketa konsumen dan terbatasnya akses terhadap keadilan, serta kesalahpahaman konsumen mengenai mekanisme pembayaran Cash on Delivery. Penelitian ini berargumen bahwa persoalan utamanya bukan ketiadaan norma, melainkan jarak antara instrumen regulasi terbaru dan dukungan kelembagaan di daerah, dan mengusulkan penguatan lembaga penyelesaian sengketa konsumen tingkat provinsi disertai pengawasan atas social commerce.</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Perkembangan teknologi informasi telah mengubah cara masyarakat bertransaksi, dari sistem konvensional menuju perdagangan melalui sistem elektronik. Transaksi dapat berlangsung tanpa pertemuan langsung antara penjual dan pembeli, sehingga memberikan kemudahan, efisiensi, dan perluasan jangkauan pasar. Namun karakteristik itu sekaligus melahirkan konsekuensi hukum, karena konsumen tidak dapat melihat, memeriksa, atau menilai barang sebelum membeli dan sepenuhnya bergantung pada informasi yang disampaikan pelaku usaha melalui media elektronik.</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Ketidakseimbangan posisi itu diperberat oleh keterbatasan informasi, minimnya pemahaman hukum, dan ketergantungan konsumen pada syarat serta ketentuan yang ditetapkan secara sepihak oleh pelaku usaha maupun platform digital. Transaksi elektronik juga melibatkan pengelolaan data pribadi berupa nama, alamat, nomor telepon, dan informasi pembayaran, sehingga pengelolaan yang tidak aman berpotensi menimbulkan pelanggaran privasi dan penyalahgunaan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normatif, kerangka hukumnya telah tersedia dan terus bertambah. Undang-Undang Nomor 8 Tahun 1999 tentang Perlindungan Konsumen menjadi landasan utama, dilengkapi Undang-Undang Nomor 11 Tahun 2008 tentang Informasi dan Transaksi Elektronik sebagaimana telah diubah dengan Undang-Undang Nomor 19 Tahun 2016, Peraturan Pemerintah Nomor 80 Tahun 2019 tentang Perdagangan Melalui Sistem Elektronik, Undang-Undang Nomor 27 Tahun 2022 tentang Pelindungan Data Pribadi, serta Peraturan Menteri Perdagangan Nomor 31 Tahun 2023 yang mengatur perizinan berusaha, periklanan, pembinaan, dan pengawasan pelaku usaha dalam perdagangan melalui sistem elektronik. Persoalannya bergeser dari ketersediaan norma menuju efektivitas pelaksanaannya.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Provinsi Papua menghadirkan konteks yang khas. Kondisi geografis yang luas dan sulit dijangkau, keterbatasan infrastruktur transportasi dan telekomunikasi, serta penetrasi internet yang belum merata menjadikan konsumen di wilayah ini lebih rentan. Jarak dari pusat distribusi nasional menimbulkan keterlambatan pengiriman dan tingginya biaya logistik, sementara pelaku usaha digital yang bertransaksi dengan konsumen Papua sering berada di luar wilayah provinsi sehingga menyulitkan penuntutan pertanggungjawaban. Rendahnya literasi digital juga membuka celah penyalahgunaan, sebagaimana tampak pada maraknya layanan pinjaman daring ilegal yang menjadi perhatian otoritas jasa keuangan di wilayah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perlindungan konsumen dalam transaksi elektronik telah berkembang luas, mencakup tanggung jawab pelaku usaha, keabsahan kontrak elektronik, klausula baku, dan penyelesaian sengketa konsumen. Sebagian besar kajian tersebut mengambil lokus di wilayah dengan infrastruktur digital dan kelembagaan perlindungan konsumen yang telah relatif mapan, sehingga variabel geografis dan kelembagaan tidak menjadi perhatian utama.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Terdapat pula kesenjangan yang belum banyak dijembatani. Diskusi mengenai kelemahan perlindungan konsumen di daerah cenderung berhenti pada kesimpulan bahwa infrastruktur dan literasi masih terbatas, tanpa menelusuri apakah instrumen regulasi termutakhir telah dimanfaatkan. Pengaturan mengenai social commerce yang terbit pada tahun 2023 dan pengaturan pelindungan data pribadi yang berlaku penuh sejak Oktober 2024, misalnya, belum banyak dibaca sebagai jawaban atas persoalan legalitas pelaku usaha dan penyalahgunaan data di daerah dengan keterbatasan pengawasan.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tanggung jawab pelaku usaha atau pada satu bentuk sengketa secara terpisah, penelitian ini menitikberatkan analisisnya pada dua hal, yaitu pemetaan bentuk perlindungan yang secara nyata dijalankan di Provinsi Papua menurut pembedaan preventif dan represif, serta penelusuran apakah kendala yang muncul bersumber dari kekosongan norma atau dari jarak antara norma dan dukungan kelembagaan di daerah.</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mengetahui dan menganalisis implementasi perlindungan hukum bagi konsumen dalam transaksi e-commerce di Provinsi Papua; dan kedua, mengetahui dan menganalisis kendala-kendala yang dihadapi dalam implementasi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hukum perlindungan konsumen dengan menempatkan variabel geografis dan kelembagaan sebagai faktor yang menentukan efektivitas norma, bukan sekadar latar belakang. Secara praktis, temuan penelitian dapat menjadi bahan pertimbangan bagi pemerintah daerah, dinas terkait, dan lembaga penyelesaian sengketa konsumen dalam merancang perlindungan yang sesuai dengan karakteristik wilayah.</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mencakup jenis dan pendekatan penelitian, lokasi, sumber data, teknik pengumpulan, serta teknik analisis yang digunakan.</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normatif-empiris yang bersifat deskriptif dengan desain kualitatif. Pilihan tersebut didasarkan pada karakter permasalahan yang tidak dapat dijawab hanya dengan menelaah norma, karena inti persoalannya justru terletak pada jarak antara norma yang berlaku dan pelaksanaannya di lapangan. Sisi normatif ditempuh melalui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ketentuan perlindungan konsumen, transaksi elektronik, perdagangan melalui sistem elektronik, dan pelindungan data pribadi, serta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konsep perlindungan hukum preventif dan represif serta teori tujuan hukum sebagai pisau analisis. Sisi empiris ditempuh melalui penelusuran praktik pelaksanaan perlindungan konsumen di lokasi penelitian. Penelitian ini tidak menggunakan pendekatan kuantitatif karena tujuannya memahami pola dan makna, bukan mengukur frekuensi.</w:t>
      </w:r>
    </w:p>
    <w:p>
      <w:pPr>
        <w:pStyle w:val="Heading2"/>
        <w:ind w:right="322"/>
        <w:rPr>
          <w:rStyle w:val="mediumtext"/>
        </w:rPr>
      </w:pPr>
      <w:r>
        <w:rPr>
          <w:rStyle w:val="mediumtext"/>
        </w:rPr>
        <w:t xml:space="preserve">2.2 Lokasi dan Objek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dilaksanakan di Provinsi Papua dengan titik pengumpulan data pada Dinas Penanaman Modal dan Pelayanan Terpadu Satu Pintu Provinsi Papua serta Dinas Komunikasi dan Informatika Provinsi Papua, disertai penelusuran pada pelaku usaha e-commerce dan tokoh masyarakat. Kedua instansi tersebut dipilih karena masing-masing memegang simpul yang menentukan, yaitu perizinan berusaha dan pengawasan ruang digital. Objek penelitian adalah pelaksanaan perlindungan hukum bagi konsumen dalam transaksi e-commerce beserta hambatan yang menyertainya, bukan satu kasus tertentu. Perlu dicatat bahwa cakupan wilayah Provinsi Papua telah berubah setelah pembentukan sejumlah provinsi baru pada tahun 2022, sehingga temuan penelitian ini terikat pada wilayah administratif Provinsi Papua sebagaimana berlaku saat penelitian dilakukan.</w:t>
      </w:r>
    </w:p>
    <w:p>
      <w:pPr>
        <w:pStyle w:val="Heading2"/>
        <w:ind w:right="322"/>
        <w:rPr>
          <w:rStyle w:val="mediumtext"/>
        </w:rPr>
      </w:pPr>
      <w:r>
        <w:rPr>
          <w:rStyle w:val="mediumtext"/>
        </w:rPr>
        <w:t xml:space="preserve">2.3 Jenis dan Sumber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primer diperoleh secara langsung melalui wawancara dengan responden dan informan yang berkaitan dengan objek penelitian, yang mencakup pejabat pada dinas yang membidangi penanaman modal dan pelayanan perizinan, pejabat pada dinas yang membidangi komunikasi dan informatika, pelaku usaha e-commerce, serta tokoh masyarakat dan mahasiswa sebagai representasi konsumen. Data sekunder diperoleh melalui penelitian kepustakaan berupa literatur, dokumen, buku, makalah, serta peraturan perundang-undangan dan bahan tertulis yang berkaitan erat dengan objek yang dibahas. Bahan hukum primer yang digunakan meliputi Undang-Undang Nomor 8 Tahun 1999, Undang-Undang Informasi dan Transaksi Elektronik beserta perubahannya, Undang-Undang Nomor 27 Tahun 2022, Peraturan Pemerintah Nomor 80 Tahun 2019, dan Peraturan Menteri Perdagangan Nomor 31 Tahun 2023.</w:t>
      </w:r>
    </w:p>
    <w:p>
      <w:pPr>
        <w:pStyle w:val="Heading2"/>
        <w:ind w:right="322"/>
        <w:rPr>
          <w:rStyle w:val="mediumtext"/>
        </w:rPr>
      </w:pPr>
      <w:r>
        <w:rPr>
          <w:rStyle w:val="mediumtext"/>
        </w:rPr>
        <w:t xml:space="preserve">2.4 Teknik Pengumpulan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data dilakukan melalui dua teknik yang saling melengkapi. Penelitian kepustakaan (</w:t>
      </w:r>
      <w:r>
        <w:rPr>
          <w:rStyle w:val="longtext"/>
          <w:rFonts w:ascii="Segoe UI" w:hAnsi="Segoe UI" w:cs="Segoe UI"/>
          <w:i/>
          <w:iCs/>
          <w:sz w:val="22"/>
          <w:szCs w:val="22"/>
          <w:shd w:val="clear" w:color="auto" w:fill="FFFFFF"/>
          <w:lang w:val="id"/>
        </w:rPr>
        <w:t xml:space="preserve">library research</w:t>
      </w:r>
      <w:r>
        <w:rPr>
          <w:rStyle w:val="longtext"/>
          <w:rFonts w:ascii="Segoe UI" w:hAnsi="Segoe UI" w:cs="Segoe UI"/>
          <w:sz w:val="22"/>
          <w:szCs w:val="22"/>
          <w:shd w:val="clear" w:color="auto" w:fill="FFFFFF"/>
          <w:lang w:val="id"/>
        </w:rPr>
        <w:t xml:space="preserve">) digunakan untuk menghimpun peraturan perundang-undangan, literatur, artikel, dan dokumen yang berhubungan dengan objek penelitian. Penelitian lapangan (</w:t>
      </w:r>
      <w:r>
        <w:rPr>
          <w:rStyle w:val="longtext"/>
          <w:rFonts w:ascii="Segoe UI" w:hAnsi="Segoe UI" w:cs="Segoe UI"/>
          <w:i/>
          <w:iCs/>
          <w:sz w:val="22"/>
          <w:szCs w:val="22"/>
          <w:shd w:val="clear" w:color="auto" w:fill="FFFFFF"/>
          <w:lang w:val="id"/>
        </w:rPr>
        <w:t xml:space="preserve">field research</w:t>
      </w:r>
      <w:r>
        <w:rPr>
          <w:rStyle w:val="longtext"/>
          <w:rFonts w:ascii="Segoe UI" w:hAnsi="Segoe UI" w:cs="Segoe UI"/>
          <w:sz w:val="22"/>
          <w:szCs w:val="22"/>
          <w:shd w:val="clear" w:color="auto" w:fill="FFFFFF"/>
          <w:lang w:val="id"/>
        </w:rPr>
        <w:t xml:space="preserve">) dilakukan di Provinsi Papua melalui wawancara langsung dengan pihak instansi terkait, disertai pengumpulan data dan dokumen pendukung. Wawancara dilaksanakan secara semi-terstruktur agar informan dapat menguraikan pengalamannya secara utuh, dan keterangan dari satu informan dikonfirmasi silang dengan keterangan informan lain serta dengan dokumen yang tersedia sebelum digunakan sebagai dasar analisis.</w:t>
      </w:r>
    </w:p>
    <w:p>
      <w:pPr>
        <w:pStyle w:val="Heading2"/>
        <w:ind w:right="322"/>
        <w:rPr>
          <w:rStyle w:val="mediumtext"/>
        </w:rPr>
      </w:pPr>
      <w:r>
        <w:rPr>
          <w:rStyle w:val="mediumtext"/>
        </w:rPr>
        <w:t xml:space="preserve">2.5 Teknik Analisis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primer dan data sekunder dianalisis secara kualitatif dan diuraikan secara deskriptif melalui tiga tahap. Tahap pertama adalah reduksi dan penyusunan data, yaitu memilah keterangan informan dan dokumen menurut dua rumusan masalah. Tahap kedua adalah klasifikasi, yaitu menggolongkan bentuk perlindungan yang dijalankan menurut pembedaan preventif dan represif serta mengelompokkan hambatan menurut sumber persoalannya. Tahap ketiga adalah penilaian normatif, yaitu menghadapkan temuan tersebut pada norma yang berlaku untuk menilai apakah persoalan bersumber dari kekosongan norma atau dari keterbatasan dukungan kelembagaan.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induktif dari temuan lapangan menuju rumusan yang lebih umum, kemudian diuji kembali secara deduktif terhadap norma yang berlaku. Keterbatasan penelitian dikemukakan secara terbuka: karena jumlah informannya terbatas dan lokusnya satu provinsi, temuan penelitian menggambarkan pola yang berlaku di wilayah tersebut dan tidak dimaksudkan untuk digeneralisasi ke seluruh Indonesia.</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implementasi perlindungan hukum dan kendala yang menyertainya, kemudian ditutup dengan penelusuran instrumen regulasi termutakhir yang belum dimanfaatkan secara optimal.</w:t>
      </w:r>
    </w:p>
    <w:p>
      <w:pPr>
        <w:pStyle w:val="Heading2"/>
        <w:ind w:right="322"/>
        <w:rPr>
          <w:rStyle w:val="mediumtext"/>
        </w:rPr>
      </w:pPr>
      <w:r>
        <w:rPr>
          <w:rStyle w:val="mediumtext"/>
        </w:rPr>
        <w:t xml:space="preserve">3.1 Implementasi Perlindungan Preventif dan Represif</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Perlindungan hukum dapat dibedakan menjadi perlindungan preventif yang bertujuan mencegah terjadinya pelanggaran hak melalui pembinaan, pengawasan, edukasi, dan penyusunan regulasi, serta perlindungan represif yang bekerja melalui mekanisme penyelesaian sengketa setelah pelanggaran terjadi (Hadjon, 1987). Dalam transaksi e-commerce, keduanya menjadi penting karena hubungan hukum dibangun tanpa pertemuan langsung sehingga kepercayaan menjadi faktor utama. Pemetaan pelaksanaan kedua bentuk perlindungan tersebut di Provinsi Papua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Pelaksanaan Perlindungan Preventif dan Represif di Provinsi Papua</w:t>
      </w:r>
    </w:p>
    <w:tbl>
      <w:tblPr>
        <w:tblW w:w="0" w:type="auto"/>
        <w:jc w:val="center"/>
        <w:tblCellMar>
          <w:top w:w="40" w:type="dxa"/>
          <w:left w:w="80" w:type="dxa"/>
          <w:bottom w:w="40" w:type="dxa"/>
          <w:right w:w="80" w:type="dxa"/>
        </w:tblCellMar>
        <w:tblLook w:val="04A0" w:firstRow="1" w:lastRow="0" w:firstColumn="1" w:lastColumn="0" w:noHBand="0" w:noVBand="1"/>
      </w:tblPr>
      <w:tblGrid>
        <w:gridCol w:w="2000"/>
        <w:gridCol w:w="3100"/>
        <w:gridCol w:w="2700"/>
      </w:tblGrid>
      <w:tr>
        <w:trPr>
          <w:cantSplit/>
          <w:tblHeader/>
          <w:jc w:val="center"/>
        </w:trPr>
        <w:tc>
          <w:tcPr>
            <w:tcW w:w="2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Bentuk Perlindungan</w:t>
            </w:r>
          </w:p>
        </w:tc>
        <w:tc>
          <w:tcPr>
            <w:tcW w:w="3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Wujud Pelaksanaan di Provinsi Papua</w:t>
            </w:r>
          </w:p>
        </w:tc>
        <w:tc>
          <w:tcPr>
            <w:tcW w:w="2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Temuan Penelitian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Preventif melalui edukasi</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Program literasi digital, sosialisasi keamanan transaksi elektronik, dan edukasi penggunaan platform digital</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Berjalan, tetapi jangkauannya terbatas oleh kondisi geografis dan jaringan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Preventif melalui perizinan</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Pendaftaran usaha melalui sistem perizinan berusaha terintegrasi secara elektronik</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Belum berjalan optimal; sebagian besar pelaku usaha berada pada sektor informal</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Preventif melalui pengawasan</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ruang digital dan penyediaan kanal pengaduan atas dugaan penipuan</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Terbatas karena banyak pelaku usaha berada di luar wilayah provinsi</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Represif melalui penyelesaian sengketa</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Jalur peradilan dan di luar peradilan, termasuk melalui badan penyelesaian sengketa konsumen</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Tersedia secara normatif, tetapi jarang ditempuh karena tidak dikenal luas</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hasil wawancara dan studi dokumen di Provinsi Papua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ketimpangan yang jelas. Perlindungan preventif telah berjalan melalui program literasi digital, sosialisasi keamanan transaksi elektronik, edukasi penggunaan platform yang aman, serta penyediaan kanal pengaduan atas dugaan penipuan dan konten yang melanggar hukum. Sebaliknya, perlindungan represif belum bekerja setara: mekanisme penyelesaian sengketa tersedia secara normatif tetapi jarang digunakan konsumen.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Apabila dianalisis berdasarkan Pasal 4 Undang-Undang Nomor 8 Tahun 1999, setiap konsumen berhak atas kenyamanan, keamanan, dan keselamatan dalam menggunakan barang dan/atau jasa, serta berhak memperoleh informasi yang benar, jelas, dan jujur. Dalam praktik transaksi e-commerce di Provinsi Papua, pemenuhan hak tersebut belum sepenuhnya terlaksana karena keterbatasan akses informasi dan rendahnya literasi digital. Gangguan jaringan yang menyebabkan transaksi gagal atau pembayaran tidak terkonfirmasi memperlihatkan bahwa kerentanan konsumen di wilayah ini bukan semata persoalan pemahaman, melainkan juga persoalan keandalan infrastruktur yang menopang transaksi.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lain yang menonjol adalah lemahnya legalitas pelaku usaha. Sebagian besar pelaku usaha e-commerce di Provinsi Papua bergerak pada sektor informal dan berdagang melalui media sosial tanpa mendaftarkan usahanya melalui sistem perizinan berusaha terintegrasi secara elektronik. Secara normatif, Peraturan Pemerintah Nomor 80 Tahun 2019 mewajibkan pelaku usaha memenuhi persyaratan administratif, memberikan identitas yang benar, menyampaikan informasi lengkap mengenai barang atau jasa, serta melindungi hak konsumen. Berdasarkan konstruksi hukum tersebut, penulis berpendapat bahwa ketiadaan identitas usaha yang jelas bukan sekadar pelanggaran administratif, melainkan penghalang utama bagi bekerjanya seluruh mekanisme perlindungan represif, karena tanggung jawab hukum tidak dapat dibebankan kepada subjek yang tidak dapat diidentifikasi.</w:t>
      </w:r>
    </w:p>
    <w:p>
      <w:pPr>
        <w:pStyle w:val="Heading2"/>
        <w:ind w:right="322"/>
        <w:rPr>
          <w:rStyle w:val="mediumtext"/>
        </w:rPr>
      </w:pPr>
      <w:r>
        <w:rPr>
          <w:rStyle w:val="mediumtext"/>
        </w:rPr>
        <w:t xml:space="preserve">3.2 Kendala Implementasi dan Sumber Persoalannya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kedua penelitian ini adalah adanya empat kendala yang berulang dan saling menguatkan. Keempatnya beserta sumber persoalan dan hak konsumen yang terdampak disajikan pada Tabel 2.</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Kendala Implementasi dan Hak Konsumen yang Terdampak</w:t>
      </w:r>
    </w:p>
    <w:tbl>
      <w:tblPr>
        <w:tblW w:w="0" w:type="auto"/>
        <w:jc w:val="center"/>
        <w:tblCellMar>
          <w:top w:w="40" w:type="dxa"/>
          <w:left w:w="80" w:type="dxa"/>
          <w:bottom w:w="40" w:type="dxa"/>
          <w:right w:w="80" w:type="dxa"/>
        </w:tblCellMar>
        <w:tblLook w:val="04A0" w:firstRow="1" w:lastRow="0" w:firstColumn="1" w:lastColumn="0" w:noHBand="0" w:noVBand="1"/>
      </w:tblPr>
      <w:tblGrid>
        <w:gridCol w:w="2200"/>
        <w:gridCol w:w="3200"/>
        <w:gridCol w:w="2400"/>
      </w:tblGrid>
      <w:tr>
        <w:trPr>
          <w:cantSplit/>
          <w:tblHeader/>
          <w:jc w:val="center"/>
        </w:trPr>
        <w:tc>
          <w:tcPr>
            <w:tcW w:w="22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Kendala</w:t>
            </w:r>
          </w:p>
        </w:tc>
        <w:tc>
          <w:tcPr>
            <w:tcW w:w="32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Sumber Persoalan</w:t>
            </w:r>
          </w:p>
        </w:tc>
        <w:tc>
          <w:tcPr>
            <w:tcW w:w="24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Hak Konsumen yang Terdampak</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Keterbatasan infrastruktur dan rendahnya literasi digital</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Jaringan belum merata dan pemahaman masyarakat atas keamanan transaksi masih rendah</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Hak atas kenyamanan, keamanan, dan informasi yang benar</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Lemahnya legalitas pelaku usaha dan pengawasan</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Perdagangan melalui media sosial tanpa identitas usaha yang jelas</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Hak atas ganti rugi dan pertanggungjawaban pelaku usaha</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Lamanya penyelesaian sengketa dan terbatasnya akses keadilan</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Lembaga penyelesaian sengketa belum dikenal; biaya dan jarak melebihi nilai kerugian</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Hak atas advokasi, pembinaan, dan penyelesaian sengketa</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Kesalahpahaman mekanisme Cash on Delivery</w:t>
            </w:r>
          </w:p>
        </w:tc>
        <w:tc>
          <w:tcPr>
            <w:tcW w:w="3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Konsumen menempatkan kurir sebagai penanggung jawab kesesuaian barang</w:t>
            </w:r>
          </w:p>
        </w:tc>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Hak atas informasi yang benar, jelas, dan jujur</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hasil wawancara dan studi dokumen di Provinsi Papua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 penyelesaian sengketa menempati posisi yang paling menentukan bagi perlindungan represif. Secara normatif, Pasal 45 ayat (1) dan ayat (2) Undang-Undang Nomor 8 Tahun 1999 membuka dua jalur sekaligus, yaitu melalui peradilan dan di luar peradilan, sedangkan Pasal 49 mengatur pembentukan Badan Penyelesaian Sengketa Konsumen. Persoalannya, lembaga tersebut belum banyak dikenal masyarakat, sehingga konsumen yang mengalami kerugian cenderung memilih diam. Nilai kerugian yang sering kali lebih kecil daripada biaya dan waktu yang harus dikeluarkan untuk menempuh upaya hukum memperkuat kecenderungan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 kesalahpahaman mengenai mekanisme pembayaran </w:t>
      </w:r>
      <w:r>
        <w:rPr>
          <w:rStyle w:val="longtext"/>
          <w:rFonts w:ascii="Segoe UI" w:hAnsi="Segoe UI" w:cs="Segoe UI"/>
          <w:i/>
          <w:iCs/>
          <w:sz w:val="22"/>
          <w:szCs w:val="22"/>
          <w:shd w:val="clear" w:color="auto" w:fill="FFFFFF"/>
          <w:lang w:val="id"/>
        </w:rPr>
        <w:t xml:space="preserve">cash on delivery</w:t>
      </w:r>
      <w:r>
        <w:rPr>
          <w:rStyle w:val="longtext"/>
          <w:rFonts w:ascii="Segoe UI" w:hAnsi="Segoe UI" w:cs="Segoe UI"/>
          <w:sz w:val="22"/>
          <w:szCs w:val="22"/>
          <w:shd w:val="clear" w:color="auto" w:fill="FFFFFF"/>
          <w:lang w:val="id"/>
        </w:rPr>
        <w:t xml:space="preserve"> perlu didudukkan secara tepat. Secara yuridis, kurir bukanlah pelaku usaha yang berkewajiban menanggung kesesuaian barang; hubungan hukum konsumen tetap berada dengan penjual. Menurut analisis penulis, konflik yang kerap timbul antara konsumen dan kurir sesungguhnya merupakan gejala dari tidak terpenuhinya hak atas informasi yang benar, jelas, dan jujur sebagaimana dimaksud Pasal 4 huruf c undang-undang tersebut. Karena itu jalan keluarnya bukan pada penambahan kewajiban kurir, melainkan pada kewajiban penyelenggara perdagangan melalui sistem elektronik untuk menjelaskan konsekuensi mekanisme tersebut pada titik transaksi.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Jika dikaitkan dengan teori tujuan hukum, keempat kendala tersebut berdampak berbeda. Keterbatasan infrastruktur dan lemahnya legalitas pelaku usaha terutama melukai kepastian hukum; lamanya penyelesaian sengketa dan terbatasnya akses terhadap keadilan menyentuh keadilan; sedangkan rendahnya literasi digital mengurangi kemanfaatan karena konsumen tidak dapat memanfaatkan hak yang sebenarnya telah dijamin. Temuan tersebut memperlihatkan bahwa keempatnya bertemu pada satu titik yang sama, yaitu lemahnya kelembagaan yang menghubungkan norma nasional dengan konsumen di daerah.</w:t>
      </w:r>
    </w:p>
    <w:p>
      <w:pPr>
        <w:pStyle w:val="Heading2"/>
        <w:ind w:right="322"/>
        <w:rPr>
          <w:rStyle w:val="mediumtext"/>
        </w:rPr>
      </w:pPr>
      <w:r>
        <w:rPr>
          <w:rStyle w:val="mediumtext"/>
        </w:rPr>
        <w:t xml:space="preserve">3.3 Jarak antara Instrumen Regulasi Terbaru dan Dukungan Kelembagaan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ketiga bersifat korektif terhadap cara persoalan ini biasa dirumuskan. Kendala yang dihadapi konsumen di Provinsi Papua lebih tepat dibaca sebagai jarak antara instrumen regulasi yang telah tersedia dan dukungan kelembagaan di daerah, bukan sebagai kekosongan norma. Instrumen tersebut beserta relevansinya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Instrumen Regulasi yang Relevan terhadap Kendala yang Ditemukan</w:t>
      </w:r>
    </w:p>
    <w:tbl>
      <w:tblPr>
        <w:tblW w:w="0" w:type="auto"/>
        <w:jc w:val="center"/>
        <w:tblCellMar>
          <w:top w:w="40" w:type="dxa"/>
          <w:left w:w="80" w:type="dxa"/>
          <w:bottom w:w="40" w:type="dxa"/>
          <w:right w:w="80" w:type="dxa"/>
        </w:tblCellMar>
        <w:tblLook w:val="04A0" w:firstRow="1" w:lastRow="0" w:firstColumn="1" w:lastColumn="0" w:noHBand="0" w:noVBand="1"/>
      </w:tblPr>
      <w:tblGrid>
        <w:gridCol w:w="2900"/>
        <w:gridCol w:w="4900"/>
      </w:tblGrid>
      <w:tr>
        <w:trPr>
          <w:cantSplit/>
          <w:tblHeader/>
          <w:jc w:val="center"/>
        </w:trPr>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Instrumen Hukum</w:t>
            </w:r>
          </w:p>
        </w:tc>
        <w:tc>
          <w:tcPr>
            <w:tcW w:w="4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Relevansi terhadap Kendala yang Ditemukan</w:t>
            </w:r>
          </w:p>
        </w:tc>
      </w:tr>
      <w:tr>
        <w:trPr>
          <w:cantSplit/>
          <w:jc w:val="center"/>
        </w:trPr>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Undang-Undang Nomor 8 Tahun 1999</w:t>
            </w:r>
          </w:p>
        </w:tc>
        <w:tc>
          <w:tcPr>
            <w:tcW w:w="4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Menjamin hak konsumen, melarang klausula baku yang mengalihkan tanggung jawab, dan membuka jalur penyelesaian sengketa di dalam maupun di luar peradilan</w:t>
            </w:r>
          </w:p>
        </w:tc>
      </w:tr>
      <w:tr>
        <w:trPr>
          <w:cantSplit/>
          <w:jc w:val="center"/>
        </w:trPr>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Peraturan Pemerintah Nomor 80 Tahun 2019</w:t>
            </w:r>
          </w:p>
        </w:tc>
        <w:tc>
          <w:tcPr>
            <w:tcW w:w="4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Mewajibkan pelaku usaha memenuhi persyaratan administratif, memberikan identitas yang benar, dan melindungi hak konsumen</w:t>
            </w:r>
          </w:p>
        </w:tc>
      </w:tr>
      <w:tr>
        <w:trPr>
          <w:cantSplit/>
          <w:jc w:val="center"/>
        </w:trPr>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Undang-Undang Nomor 27 Tahun 2022</w:t>
            </w:r>
          </w:p>
        </w:tc>
        <w:tc>
          <w:tcPr>
            <w:tcW w:w="4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Mengatur hak subjek data pribadi dan kewajiban pengendali data disertai sanksi administratif dan pidana</w:t>
            </w:r>
          </w:p>
        </w:tc>
      </w:tr>
      <w:tr>
        <w:trPr>
          <w:cantSplit/>
          <w:jc w:val="center"/>
        </w:trPr>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Peraturan Menteri Perdagangan Nomor 31 Tahun 2023</w:t>
            </w:r>
          </w:p>
        </w:tc>
        <w:tc>
          <w:tcPr>
            <w:tcW w:w="4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Mendefinisikan social commerce, melarangnya memfasilitasi transaksi pembayaran, dan menyediakan sanksi administratif bertingkat</w:t>
            </w:r>
          </w:p>
        </w:tc>
      </w:tr>
      <w:tr>
        <w:trPr>
          <w:cantSplit/>
          <w:jc w:val="center"/>
        </w:trPr>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Undang-Undang Nomor 23 Tahun 2014</w:t>
            </w:r>
          </w:p>
        </w:tc>
        <w:tc>
          <w:tcPr>
            <w:tcW w:w="4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Menempatkan penyelenggaraan urusan perlindungan konsumen pada pemerintah daerah provinsi</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peraturan perundang-undangan yang berlaku</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yang paling langsung menjawab persoalan legalitas pelaku usaha adalah Peraturan Menteri Perdagangan Nomor 31 Tahun 2023. Peraturan tersebut mendefinisikan </w:t>
      </w:r>
      <w:r>
        <w:rPr>
          <w:rStyle w:val="longtext"/>
          <w:rFonts w:ascii="Segoe UI" w:hAnsi="Segoe UI" w:cs="Segoe UI"/>
          <w:i/>
          <w:iCs/>
          <w:sz w:val="22"/>
          <w:szCs w:val="22"/>
          <w:shd w:val="clear" w:color="auto" w:fill="FFFFFF"/>
          <w:lang w:val="id"/>
        </w:rPr>
        <w:t xml:space="preserve">social commerce</w:t>
      </w:r>
      <w:r>
        <w:rPr>
          <w:rStyle w:val="longtext"/>
          <w:rFonts w:ascii="Segoe UI" w:hAnsi="Segoe UI" w:cs="Segoe UI"/>
          <w:sz w:val="22"/>
          <w:szCs w:val="22"/>
          <w:shd w:val="clear" w:color="auto" w:fill="FFFFFF"/>
          <w:lang w:val="id"/>
        </w:rPr>
        <w:t xml:space="preserve"> sebagai penyelenggara media sosial yang menyediakan fitur yang memungkinkan pedagang memasang penawaran barang dan/atau jasa, dan melarang penyelenggara demikian memfasilitasi transaksi pembayaran pada sistem elektroniknya sehingga hanya dapat melakukan penawaran atau promosi. Pelanggaran atas ketentuan itu dapat dikenai sanksi administratif mulai dari peringatan tertulis, pencantuman dalam daftar prioritas pengawasan dan daftar hitam, pemblokiran sementara, hingga pencabutan izin berusaha. Temuan lapangan mengenai maraknya perdagangan melalui media sosial tanpa legalitas usaha karenanya bukan wilayah tanpa aturan, melainkan wilayah yang aturannya belum ditegakkan sampai ke daerah.</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kedua berkenaan dengan data pribadi. Undang-Undang Nomor 27 Tahun 2022 tentang Pelindungan Data Pribadi mengatur hak subjek data pribadi dan kewajiban pengendali data pribadi, disertai sanksi administratif maupun pidana, dan berlaku penuh setelah berakhirnya masa penyesuaian dua tahun sejak diundangkan. Praktik penagihan yang tidak beretika dan penyalahgunaan data oleh penyelenggara pinjaman daring ilegal, yang menjadi perhatian otoritas jasa keuangan di Provinsi Papua, secara yuridis telah memiliki dasar penindakan yang jauh lebih tegas daripada sekadar mengandalkan ketentuan umum dalam undang-undang informasi dan transaksi elektronik.</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ketiga bersifat kelembagaan. Sejak berlakunya Undang-Undang Nomor 23 Tahun 2014 tentang Pemerintahan Daerah, urusan perlindungan konsumen berada pada pemerintah daerah provinsi. Pemekaran wilayah Papua pada tahun 2022 karenanya menuntut penataan ulang kelembagaan agar setiap provinsi memiliki simpul penyelesaian sengketa yang dapat dijangkau warganya. Tanpa itu, penguatan norma di tingkat pusat tidak akan sampai kepada konsumen yang paling membutuhkannya.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konstruksi hukum tersebut, penulis mengusulkan tiga langkah yang saling menyambung. Pertama, pengawasan atas perdagangan melalui media sosial dilakukan bersama oleh dinas yang membidangi perdagangan dan dinas yang membidangi komunikasi dan informatika, dengan pendampingan perizinan berusaha bagi pelaku usaha informal agar penertiban tidak berubah menjadi penutupan mata pencaharian. Kedua, penguatan lembaga penyelesaian sengketa konsumen tingkat provinsi disertai kanal pengaduan daring yang dapat diakses dari kabupaten terjauh. Ketiga, literasi digital diarahkan tidak hanya pada keamanan transaksi, tetapi juga pada pengenalan hak konsumen dan cara menempuh upaya hukum ketika hak tersebut dilanggar.</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Implementasi perlindungan hukum bagi konsumen dalam transaksi e-commerce di Provinsi Papua telah dilaksanakan melalui berbagai regulasi dan upaya pemerintah, seperti peningkatan literasi digital, sosialisasi, dan pengawasan terhadap perdagangan elektronik. Namun pelaksanaannya belum optimal karena masih dipengaruhi oleh keterbatasan infrastruktur digital, rendahnya literasi masyarakat, tingginya biaya logistik, serta belum optimalnya pengawasan terhadap pelaku usaha digital. Apabila dipetakan menurut bentuknya, perlindungan preventif telah berjalan melalui pendekatan edukatif, sedangkan perlindungan represif belum bekerja setara karena mekanisme penyelesaian sengketa tersedia secara normatif tetapi jarang dimanfaatkan konsumen.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Kendala-kendala yang dihadapi meliputi keterbatasan infrastruktur digital dan rendahnya literasi digital masyarakat, lemahnya legalitas pelaku usaha dan pengawasan pemerintah, lamanya penyelesaian sengketa konsumen dan terbatasnya akses terhadap keadilan, serta kesalahpahaman konsumen mengenai mekanisme pembayaran Cash on Delivery. Keempat kendala tersebut bertemu pada satu akar yang sama, yaitu lemahnya kelembagaan yang menghubungkan norma nasional dengan konsumen di daerah, sehingga lebih tepat dipahami sebagai jarak antara instrumen regulasi yang telah tersedia dan dukungan kelembagaan setempat daripada sebagai kekosongan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Pemerintah Provinsi Papua bersama instansi terkait meningkatkan literasi digital dan perlindungan konsumen melalui sosialisasi, edukasi, dan pelatihan secara berkala hingga ke kabupaten/kota, disertai penguatan infrastruktur digital dan peningkatan pengawasan terhadap pelaku usaha e-commerce. Pengawasan tersebut sebaiknya diarahkan pula pada perdagangan melalui media sosial sesuai ketentuan yang berlaku sejak tahun 2023, dan disertai pendampingan perizinan berusaha bagi pelaku usaha informal agar penertiban tidak mematikan usaha kecil.</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Pemerintah daerah bersama lembaga penyelesaian sengketa konsumen disarankan memperkuat mekanisme penanganan pengaduan melalui penyederhanaan prosedur, penyediaan layanan pengaduan yang mudah diakses, serta edukasi mengenai hak dan kewajiban konsumen termasuk mekanisme pembayaran Cash on Delivery. Bagi penelitian selanjutnya, disarankan menguji efektivitas penerapan ketentuan pelindungan data pribadi dan pengawasan social commerce di wilayah dengan keterbatasan infrastruktur, serta memperluas lokasi penelitian ke provinsi hasil pemekaran agar diperoleh gambaran yang lebih komprehensif. Penelitian lanjutan juga perlu mengukur secara empiris seberapa jauh konsumen di daerah dengan keterbatasan jaringan benar-benar dapat mengakses kanal pengaduan daring yang selama ini diasumsikan tersedia bagi semua orang, sehingga rekomendasi kebijakan tidak berhenti pada penyediaan sarana tetapi sampai pada keterjangkauannya.</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Barkatulah, A. H. (2008). </w:t>
      </w:r>
      <w:r>
        <w:rPr>
          <w:rFonts w:cs="Segoe UI"/>
          <w:i/>
          <w:iCs/>
          <w:noProof/>
        </w:rPr>
        <w:t xml:space="preserve">Hukum perlindungan konsumen: Kajian teoretis dan perkembangan pemikiran</w:t>
      </w:r>
      <w:r>
        <w:rPr>
          <w:rFonts w:cs="Segoe UI"/>
          <w:noProof/>
        </w:rPr>
        <w:t xml:space="preserve">. Nusa Media.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Hadjon, P. M. (1987). </w:t>
      </w:r>
      <w:r>
        <w:rPr>
          <w:rFonts w:cs="Segoe UI"/>
          <w:i/>
          <w:iCs/>
          <w:noProof/>
        </w:rPr>
        <w:t xml:space="preserve">Perlindungan hukum bagi rakyat Indonesia</w:t>
      </w:r>
      <w:r>
        <w:rPr>
          <w:rFonts w:cs="Segoe UI"/>
          <w:noProof/>
        </w:rPr>
        <w:t xml:space="preserve">. Bina Ilmu.</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(2008). </w:t>
      </w:r>
      <w:r>
        <w:rPr>
          <w:rFonts w:cs="Segoe UI"/>
          <w:i/>
          <w:iCs/>
          <w:noProof/>
        </w:rPr>
        <w:t xml:space="preserve">Pengantar ilmu hukum</w:t>
      </w:r>
      <w:r>
        <w:rPr>
          <w:rFonts w:cs="Segoe UI"/>
          <w:noProof/>
        </w:rPr>
        <w:t xml:space="preserve">.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Mertokusumo, S. (1999). </w:t>
      </w:r>
      <w:r>
        <w:rPr>
          <w:rFonts w:cs="Segoe UI"/>
          <w:i/>
          <w:iCs/>
          <w:noProof/>
        </w:rPr>
        <w:t xml:space="preserve">Mengenal hukum</w:t>
      </w:r>
      <w:r>
        <w:rPr>
          <w:rFonts w:cs="Segoe UI"/>
          <w:noProof/>
        </w:rPr>
        <w:t xml:space="preserve">. Liberty.</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Miru, A., &amp; Yodo, S. (2007). </w:t>
      </w:r>
      <w:r>
        <w:rPr>
          <w:rFonts w:cs="Segoe UI"/>
          <w:i/>
          <w:iCs/>
          <w:noProof/>
        </w:rPr>
        <w:t xml:space="preserve">Hukum perlindungan konsumen</w:t>
      </w:r>
      <w:r>
        <w:rPr>
          <w:rFonts w:cs="Segoe UI"/>
          <w:noProof/>
        </w:rPr>
        <w:t xml:space="preserve">. Raja Grafindo Persada.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Muchsin. (2003). </w:t>
      </w:r>
      <w:r>
        <w:rPr>
          <w:rFonts w:cs="Segoe UI"/>
          <w:i/>
          <w:iCs/>
          <w:noProof/>
        </w:rPr>
        <w:t xml:space="preserve">Perlindungan dan kepastian hukum bagi investor di Indonesia</w:t>
      </w:r>
      <w:r>
        <w:rPr>
          <w:rFonts w:cs="Segoe UI"/>
          <w:noProof/>
        </w:rPr>
        <w:t xml:space="preserve">. Universitas Sebelas Maret.</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Nasution, A. Z. (2002). </w:t>
      </w:r>
      <w:r>
        <w:rPr>
          <w:rFonts w:cs="Segoe UI"/>
          <w:i/>
          <w:iCs/>
          <w:noProof/>
        </w:rPr>
        <w:t xml:space="preserve">Hukum perlindungan konsumen: Suatu pengantar</w:t>
      </w:r>
      <w:r>
        <w:rPr>
          <w:rFonts w:cs="Segoe UI"/>
          <w:noProof/>
        </w:rPr>
        <w:t xml:space="preserve">. Diadit Media.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Raharjo, S. (2000). </w:t>
      </w:r>
      <w:r>
        <w:rPr>
          <w:rFonts w:cs="Segoe UI"/>
          <w:i/>
          <w:iCs/>
          <w:noProof/>
        </w:rPr>
        <w:t xml:space="preserve">Ilmu hukum</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Santoso, M. A. (2014). </w:t>
      </w:r>
      <w:r>
        <w:rPr>
          <w:rFonts w:cs="Segoe UI"/>
          <w:i/>
          <w:iCs/>
          <w:noProof/>
        </w:rPr>
        <w:t xml:space="preserve">Hukum, moral &amp; keadilan: Sebuah kajian filsafat hukum</w:t>
      </w:r>
      <w:r>
        <w:rPr>
          <w:rFonts w:cs="Segoe UI"/>
          <w:noProof/>
        </w:rPr>
        <w:t xml:space="preserve"> (Cet. 2).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Shidarta. (2006). </w:t>
      </w:r>
      <w:r>
        <w:rPr>
          <w:rFonts w:cs="Segoe UI"/>
          <w:i/>
          <w:iCs/>
          <w:noProof/>
        </w:rPr>
        <w:t xml:space="preserve">Hukum perlindungan konsumen Indonesia</w:t>
      </w:r>
      <w:r>
        <w:rPr>
          <w:rFonts w:cs="Segoe UI"/>
          <w:noProof/>
        </w:rPr>
        <w:t xml:space="preserve">. Grasindo.</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Sidabalok, J. (2006). </w:t>
      </w:r>
      <w:r>
        <w:rPr>
          <w:rFonts w:cs="Segoe UI"/>
          <w:i/>
          <w:iCs/>
          <w:noProof/>
        </w:rPr>
        <w:t xml:space="preserve">Hukum perlindungan konsumen di Indonesia</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8 Tahun 1999 tentang Perlindungan Konsumen.</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11 Tahun 2008 tentang Informasi dan Transaksi Elektronik sebagaimana telah diubah dengan Undang-Undang Republik Indonesia Nomor 19 Tahun 2016.</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23 Tahun 2014 tentang Pemerintahan Daerah.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27 Tahun 2022 tentang Pelindungan Data Pribadi.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Pemerintah Republik Indonesia Nomor 80 Tahun 2019 tentang Perdagangan Melalui Sistem Elektronik.</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Perdagangan Republik Indonesia Nomor 31 Tahun 2023 tentang Perizinan Berusaha, Periklanan, Pembinaan, dan Pengawasan Pelaku Usaha dalam Perdagangan Melalui Sistem Elektronik.</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Menase Kadepa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