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009B0AF6" w:rsidRPr="00C676AF">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" strokeweight="1pt">
                <v:stroke joinstyle="miter"/>
              </v:line>
            </w:pict>
          </mc:Fallback>
        </mc:AlternateContent>
      </w:r>
      <w:r w:rsidR="007677D4">
        <w:rPr>
          <w:rFonts w:cs="Segoe UI"/>
          <w:i/>
          <w:noProof/>
          <w:sz w:val="16"/>
          <w:szCs w:val="16"/>
          <w:lang w:val="en-IN" w:eastAsia="en-IN"/>
        </w:rPr>
        <w:t xml:space="preserve">                   </w:t>
      </w:r>
      <w:r>
        <w:rPr>
          <w:rFonts w:cs="Segoe UI"/>
          <w:i/>
          <w:noProof/>
          <w:sz w:val="16"/>
          <w:szCs w:val="16"/>
          <w:lang w:val="en-IN" w:eastAsia="en-IN"/>
        </w:rPr>
        <w:t xml:space="preserve">                  </w:t>
      </w:r>
      <w:r w:rsidR="007677D4">
        <w:rPr>
          <w:rFonts w:cs="Segoe UI"/>
          <w:i/>
          <w:noProof/>
          <w:sz w:val="16"/>
          <w:szCs w:val="16"/>
          <w:lang w:val="en-IN" w:eastAsia="en-IN"/>
        </w:rPr>
        <w:t xml:space="preserve">  </w:t>
      </w:r>
      <w:hyperlink r:id="rId10" w:history="1">
        <w:r w:rsidR="006F20C0" w:rsidRPr="00481A3C">
          <w:rPr>
            <w:rStyle w:val="Hyperlink"/>
            <w:rFonts w:cs="Segoe UI"/>
            <w:i/>
            <w:noProof/>
            <w:sz w:val="16"/>
            <w:szCs w:val="16"/>
            <w:lang w:val="en-IN" w:eastAsia="en-IN"/>
          </w:rPr>
          <w:t>https://ojs.ukipaulus.ac.id/index.php/psnp</w:t>
        </w:r>
      </w:hyperlink>
      <w:r w:rsidR="006F20C0">
        <w:rPr>
          <w:rFonts w:cs="Segoe UI"/>
          <w:i/>
          <w:noProof/>
          <w:sz w:val="16"/>
          <w:szCs w:val="16"/>
          <w:lang w:val="en-IN" w:eastAsia="en-IN"/>
        </w:rPr>
        <w:t xml:space="preserve"> </w:t>
      </w:r>
      <w:r w:rsidR="006F20C0">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w:t>
      </w:r>
      <w:r w:rsidR="00E109A4">
        <w:rPr>
          <w:rFonts w:cs="Segoe UI"/>
          <w:b/>
          <w:sz w:val="36"/>
          <w:szCs w:val="28"/>
        </w:rPr>
        <w:t xml:space="preserve"> Pascasarjana</w:t>
      </w:r>
    </w:p>
    <w:p w14:paraId="5199D495" w14:textId="2F27610F" w:rsidR="00AD7C4B" w:rsidRDefault="003A4408" w:rsidP="003A4408">
      <w:pPr>
        <w:spacing w:after="0" w:line="240" w:lineRule="auto"/>
        <w:jc w:val="center"/>
        <w:rPr>
          <w:rFonts w:cs="Segoe UI"/>
          <w:b/>
          <w:sz w:val="16"/>
          <w:szCs w:val="16"/>
        </w:rPr>
      </w:pPr>
      <w:r w:rsidRPr="00886EB8">
        <w:rPr>
          <w:rFonts w:cs="Segoe UI"/>
          <w:b/>
          <w:sz w:val="16"/>
          <w:szCs w:val="16"/>
        </w:rPr>
        <w:t xml:space="preserve">(Humaniora, </w:t>
      </w:r>
      <w:r w:rsidR="00886EB8" w:rsidRPr="00886EB8">
        <w:rPr>
          <w:rFonts w:cs="Segoe UI"/>
          <w:b/>
          <w:sz w:val="16"/>
          <w:szCs w:val="16"/>
        </w:rPr>
        <w:t>Ekonomi, Bisnis, Manajemen, Hukum dan Sosi</w:t>
      </w:r>
      <w:r w:rsidR="00354464">
        <w:rPr>
          <w:rFonts w:cs="Segoe UI"/>
          <w:b/>
          <w:sz w:val="16"/>
          <w:szCs w:val="16"/>
        </w:rPr>
        <w:t>o</w:t>
      </w:r>
      <w:r w:rsidR="00886EB8" w:rsidRPr="00886EB8">
        <w:rPr>
          <w:rFonts w:cs="Segoe UI"/>
          <w:b/>
          <w:sz w:val="16"/>
          <w:szCs w:val="16"/>
        </w:rPr>
        <w:t>logi)</w:t>
      </w:r>
    </w:p>
    <w:p w14:paraId="3F128BA9" w14:textId="0ED6C639" w:rsidR="0010607A" w:rsidRDefault="00886EB8" w:rsidP="00E109A4">
      <w:pPr>
        <w:spacing w:after="0" w:line="240" w:lineRule="auto"/>
        <w:jc w:val="center"/>
        <w:rPr>
          <w:rFonts w:cs="Segoe UI"/>
          <w:b/>
        </w:rPr>
      </w:pPr>
      <w:r w:rsidRPr="0010607A">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w:t>
      </w:r>
      <w:r w:rsidR="00886EB8" w:rsidRPr="0010607A">
        <w:rPr>
          <w:rFonts w:cs="Segoe UI"/>
          <w:b/>
          <w:sz w:val="20"/>
          <w:szCs w:val="20"/>
        </w:rPr>
        <w:t>Makassar, Indonesia</w:t>
      </w:r>
    </w:p>
    <w:p w14:paraId="4A29B526" w14:textId="0137736E" w:rsidR="001E0508" w:rsidRPr="00C676AF" w:rsidRDefault="00E109A4" w:rsidP="007677D4">
      <w:pPr>
        <w:spacing w:after="0" w:line="240" w:lineRule="auto"/>
        <w:jc w:val="left"/>
        <w:rPr>
          <w:rFonts w:cs="Segoe UI"/>
          <w:b/>
          <w:sz w:val="20"/>
          <w:szCs w:val="20"/>
        </w:rPr>
      </w:pPr>
      <w:r w:rsidRPr="00C676AF">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sidRPr="00C676AF">
        <w:rPr>
          <w:rFonts w:cs="Segoe UI"/>
          <w:b/>
          <w:sz w:val="20"/>
          <w:szCs w:val="20"/>
        </w:rPr>
        <w:tab/>
      </w:r>
    </w:p>
    <w:p w14:paraId="01376EA5" w14:textId="3A933C7B" w:rsidR="00676A1B" w:rsidRPr="004B1793" w:rsidRDefault="006F20C0" w:rsidP="00100027">
      <w:pPr>
        <w:tabs>
          <w:tab w:val="right" w:pos="9026"/>
        </w:tabs>
        <w:spacing w:after="0" w:line="240" w:lineRule="auto"/>
        <w:jc w:val="center"/>
        <w:rPr>
          <w:rFonts w:cs="Segoe UI"/>
          <w:b/>
          <w:bCs/>
          <w:sz w:val="30"/>
          <w:szCs w:val="30"/>
          <w:lang w:val="sv-SE"/>
        </w:rPr>
      </w:pPr>
      <w:r w:rsidRPr="004B1793">
        <w:rPr>
          <w:rFonts w:cs="Segoe UI"/>
          <w:b/>
          <w:bCs/>
          <w:sz w:val="30"/>
          <w:szCs w:val="30"/>
          <w:lang w:val="id"/>
        </w:rPr>
        <w:t>Upaya Penanggulangan Pelanggaran Lalu Lintas oleh Pengemudi Angkutan Umum di Kota Manokwari</w:t>
      </w:r>
    </w:p>
    <w:p w14:paraId="3A1EF515" w14:textId="6350003F" w:rsidR="00100027" w:rsidRPr="004B1793" w:rsidRDefault="00100027" w:rsidP="007677D4">
      <w:pPr>
        <w:tabs>
          <w:tab w:val="right" w:pos="9026"/>
        </w:tabs>
        <w:spacing w:after="0" w:line="240" w:lineRule="auto"/>
        <w:jc w:val="left"/>
        <w:rPr>
          <w:rFonts w:cs="Segoe UI"/>
          <w:i/>
          <w:sz w:val="24"/>
          <w:szCs w:val="20"/>
          <w:lang w:val="sv-SE"/>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44C400C7" w:rsidR="00AC334E" w:rsidRPr="00886EB8" w:rsidRDefault="001E0508" w:rsidP="00C00D09">
      <w:pPr>
        <w:tabs>
          <w:tab w:val="right" w:pos="9026"/>
        </w:tabs>
        <w:spacing w:after="0" w:line="240" w:lineRule="auto"/>
        <w:rPr>
          <w:rFonts w:cs="Segoe UI"/>
          <w:b/>
          <w:bCs/>
          <w:sz w:val="24"/>
          <w:szCs w:val="24"/>
          <w:lang w:val="fi-FI"/>
        </w:rPr>
      </w:pPr>
      <w:r>
        <w:rPr>
          <w:rFonts w:cs="Segoe UI"/>
          <w:sz w:val="24"/>
          <w:szCs w:val="24"/>
          <w:lang w:val="fi-FI"/>
        </w:rPr>
        <w:t>Muhammad Alka</w:t>
      </w:r>
      <w:r w:rsidR="004B1793" w:rsidRPr="004B1793">
        <w:rPr>
          <w:rFonts w:cs="Segoe UI"/>
          <w:sz w:val="24"/>
          <w:szCs w:val="24"/>
          <w:vertAlign w:val="superscript"/>
          <w:lang w:val="fi-FI"/>
        </w:rPr>
        <w:t>1</w:t>
      </w:r>
    </w:p>
    <w:p w14:paraId="408EDE2B" w14:textId="2E5EACE2" w:rsidR="00AC334E" w:rsidRDefault="004B1793"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sidR="001E0508" w:rsidRPr="004B1793">
        <w:rPr>
          <w:rFonts w:cs="Segoe UI"/>
          <w:sz w:val="20"/>
          <w:szCs w:val="20"/>
          <w:lang w:val="fi-FI"/>
        </w:rPr>
        <w:t xml:space="preserve">Program </w:t>
      </w:r>
      <w:proofErr w:type="spellStart"/>
      <w:r w:rsidR="001E0508" w:rsidRPr="004B1793">
        <w:rPr>
          <w:rFonts w:cs="Segoe UI"/>
          <w:sz w:val="20"/>
          <w:szCs w:val="20"/>
          <w:lang w:val="fi-FI"/>
        </w:rPr>
        <w:t>Studi</w:t>
      </w:r>
      <w:proofErr w:type="spellEnd"/>
      <w:r w:rsidR="001E0508" w:rsidRPr="004B1793">
        <w:rPr>
          <w:rFonts w:cs="Segoe UI"/>
          <w:sz w:val="20"/>
          <w:szCs w:val="20"/>
          <w:lang w:val="fi-FI"/>
        </w:rPr>
        <w:t xml:space="preserve"> Magister </w:t>
      </w:r>
      <w:proofErr w:type="spellStart"/>
      <w:r w:rsidR="001E0508" w:rsidRPr="004B1793">
        <w:rPr>
          <w:rFonts w:cs="Segoe UI"/>
          <w:sz w:val="20"/>
          <w:szCs w:val="20"/>
          <w:lang w:val="fi-FI"/>
        </w:rPr>
        <w:t>Ilmu</w:t>
      </w:r>
      <w:proofErr w:type="spellEnd"/>
      <w:r w:rsidR="001E0508" w:rsidRPr="004B1793">
        <w:rPr>
          <w:rFonts w:cs="Segoe UI"/>
          <w:sz w:val="20"/>
          <w:szCs w:val="20"/>
          <w:lang w:val="fi-FI"/>
        </w:rPr>
        <w:t xml:space="preserve"> Hukum,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r>
        <w:rPr>
          <w:rFonts w:cs="Segoe UI"/>
          <w:i/>
          <w:sz w:val="18"/>
          <w:szCs w:val="18"/>
          <w:lang w:val="fi-FI"/>
        </w:rPr>
        <w:t>muhammad@ukipaulus.ac.id (Korespondensi)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sidRPr="00C676AF">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traffic violations; public transport drivers; law enforcement; preventive measures; Manokwari</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sidRPr="00C676AF">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color w:val="181717"/>
                <w:sz w:val="20"/>
                <w:szCs w:val="20"/>
                <w:lang w:val="fi-FI"/>
              </w:rPr>
              <w:t>pelanggaran lalu lintas; pengemudi angkutan umum; penegakan hukum; upaya penanggulangan; Manokwari</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 xml:space="preserve">Abstract: </w:t>
            </w:r>
            <w:r>
              <w:rPr>
                <w:rFonts w:eastAsia="Times New Roman" w:cs="Segoe UI"/>
                <w:i/>
                <w:iCs/>
                <w:sz w:val="20"/>
                <w:szCs w:val="20"/>
              </w:rPr>
              <w:t>Traffic violations committed by public transport drivers remain a persistent problem in Manokwari, the capital of West Papua Province, where stopping, waiting for passengers and dropping off passengers outside designated places occur routinely although Article 126 in conjunction with Article 302 of Law Number 22 of 2009 on Road Traffic and Transportation expressly prohibits such conduct. This study aims to analyse the causal factors of traffic violations in Manokwari and to examine the measures taken to counter them. The research is a normative legal study using a legal case study approach, supported by field data obtained through interviews with traffic offenders and the Head of the Traffic Unit of the Manokwari Police, and analysed qualitatively and descriptively. The findings show that violations are dominated by the human factor, namely low safety awareness, limited knowledge of traffic rules and undisciplined behaviour, reinforced by unroadworthy vehicles, inadequate road facilities and inconsistent law enforcement, including the settlement of violations on the spot. Counter-measures are carried out through pre-emptive, preventive and repressive efforts. The study argues that repressive measures alone cannot produce a deterrent effect without consistency of enforcement and legal culture, so that the objectives of law, namely justice, legal certainty and utility, can be attained proportionally.</w:t>
            </w: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sz w:val="20"/>
                <w:szCs w:val="20"/>
              </w:rPr>
              <w:t xml:space="preserve">Abstrak: </w:t>
            </w:r>
            <w:r>
              <w:rPr>
                <w:rFonts w:eastAsia="Times New Roman" w:cs="Segoe UI"/>
                <w:sz w:val="20"/>
                <w:szCs w:val="20"/>
              </w:rPr>
              <w:t xml:space="preserve">Pelanggaran lalu lintas oleh pengemudi angkutan umum masih menjadi persoalan menahun di Kota Manokwari, ibu kota Provinsi Papua Barat, di mana perbuatan berhenti, mengetem, dan menurunkan penumpang di sembarang tempat berlangsung rutin meskipun Pasal 126 juncto Pasal 302 Undang-Undang Nomor 22 Tahun 2009 tentang Lalu Lintas dan Angkutan Jalan melarangnya secara tegas. Penelitian ini bertujuan menganalisis faktor penyebab terjadinya pelanggaran lalu lintas di Manokwari dan mengkaji upaya penanggulangannya. Penelitian merupakan penelitian hukum normatif dengan pendekatan studi kasus hukum yang didukung data lapangan melalui wawancara dengan pelanggar lalu lintas dan Kepala Satuan Lalu Lintas Polres Manokwari, serta dianalisis secara kualitatif dan deskriptif. Hasil penelitian menunjukkan bahwa pelanggaran didominasi faktor manusia </w:t>
            </w:r>
            <w:r>
              <w:rPr>
                <w:rFonts w:eastAsia="Times New Roman" w:cs="Segoe UI"/>
                <w:sz w:val="20"/>
                <w:szCs w:val="20"/>
              </w:rPr>
              <w:lastRenderedPageBreak/>
              <w:t>berupa rendahnya kesadaran keselamatan, keterbatasan pengetahuan aturan, dan ketidakdisiplinan, yang diperkuat oleh kondisi kendaraan yang tidak laik jalan, keterbatasan prasarana jalan, serta penegakan hukum yang tidak konsisten termasuk penyelesaian pelanggaran di tempat. Penanggulangan dilakukan melalui upaya pre-emtif, preventif, dan represif. Penelitian ini berargumen bahwa upaya represif semata tidak menimbulkan efek jera tanpa konsistensi penegakan dan pembangunan budaya hukum, sehingga tujuan hukum berupa keadilan, kepastian, dan kemanfaatan dapat tercapai secara proporsional.</w:t>
            </w: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lastRenderedPageBreak/>
              <w:t xml:space="preserve">Informasi Artikel: </w:t>
            </w:r>
            <w:r>
              <w:rPr>
                <w:rFonts w:cs="Segoe UI"/>
                <w:sz w:val="20"/>
                <w:szCs w:val="20"/>
              </w:rPr>
              <w:t>Diterima: -, Disetujui: -, Dipublikasikan: -</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12B5585A" w14:textId="6E9841B4" w:rsidR="001E0508" w:rsidRPr="001C62FB" w:rsidRDefault="006F0069" w:rsidP="006F0069">
      <w:pPr>
        <w:pStyle w:val="Heading3"/>
        <w:ind w:left="1134" w:hanging="283"/>
      </w:pPr>
      <w:r>
        <w:t>PENDAHULUAN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Lalu lintas dan angkutan jalan merupakan urat nadi mobilitas sosial dan ekonomi yang menopang distribusi barang, jasa, dan tenaga kerja di suatu wilayah. Angkutan umum, sebagai kegiatan memindahkan orang atau barang dari satu tempat ke tempat lain dengan pungutan biaya tertentu, melibatkan tiga pihak sekaligus, yaitu operator sebagai penyedia layanan, masyarakat sebagai pengguna jasa, dan pemerintah sebagai regulator sekaligus penengah di antara keduanya (Widayanti, 2014). Ketergantungan masyarakat terhadap angkutan umum semakin nyata pada kelompok berpendapatan rendah yang tidak memiliki kendaraan pribadi, sehingga kualitas penyelenggaraan angkutan umum berbanding lurus dengan kualitas hidup masyarakat pengguna jalan.</w:t>
      </w:r>
    </w:p>
    <w:p w14:paraId="22F212AD"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Ketergantungan tersebut tidak selalu diimbangi dengan tertib berlalu lintas. Di banyak kota di Indonesia, termasuk Kota Manokwari sebagai ibu kota Provinsi Papua Barat, membaiknya kondisi ekonomi mempercepat pertumbuhan jumlah kendaraan tanpa diikuti pengembangan infrastruktur jalan yang memadai. Akibatnya muncul kemacetan, ketidakteraturan, dan berbagai bentuk pelanggaran yang telah dianggap lumrah, seperti mengemudi ugal-ugalan, menaikkan dan menurunkan penumpang di sembarang tempat, mengetem di badan jalan, serta menerobos lampu pengatur lalu lintas. Pelanggaran semacam ini secara sosiologis merupakan bentuk penyimpangan yang lahir dari lemahnya pengendalian diri dan lemahnya kontrol sosial terhadap perilaku pengguna jalan.</w:t>
      </w:r>
    </w:p>
    <w:p w14:paraId="3BC32FF2"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Secara normatif, perbuatan tersebut bukan tindakan bebas nilai. Pasal 126 Undang-Undang Nomor 22 Tahun 2009 tentang Lalu Lintas dan Angkutan Jalan melarang pengemudi kendaraan bermotor umum angkutan orang untuk memberhentikan kendaraan selain di tempat yang ditentukan, mengetem selain di tempat yang ditentukan, menurunkan penumpang selain di tempat pemberhentian atau di tempat tujuan tanpa alasan yang patut dan mendesak, serta melewati jaringan jalan selain yang ditentukan dalam izin trayek. Larangan itu dilengkapi ancaman pidana dalam Pasal 302 berupa pidana kurungan paling lama satu bulan atau denda paling banyak Rp250.000,00. Pasal 105 undang-undang yang sama juga mewajibkan setiap pengguna jalan berperilaku tertib dan mencegah hal-hal yang dapat merintangi serta membahayakan keselamatan lalu lintas. Dengan demikian, norma larangan, subjek yang dituju, dan sanksinya telah tersedia secara lengkap.</w:t>
      </w:r>
    </w:p>
    <w:p w14:paraId="4A131A20"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Persoalannya terletak pada jarak antara norma dan kenyataan. Di lapangan, sebagian pelanggaran diselesaikan di tempat oleh oknum petugas sehingga tidak </w:t>
      </w:r>
      <w:r>
        <w:rPr>
          <w:rStyle w:val="longtext"/>
          <w:rFonts w:ascii="Segoe UI" w:hAnsi="Segoe UI" w:cs="Segoe UI"/>
          <w:sz w:val="22"/>
          <w:szCs w:val="22"/>
          <w:shd w:val="clear" w:color="auto" w:fill="FFFFFF"/>
          <w:lang w:val="sv-SE"/>
        </w:rPr>
        <w:lastRenderedPageBreak/>
        <w:t>pernah sampai pada proses hukum, sementara sebagian pengemudi memperoleh Surat Izin Mengemudi tanpa melalui pengujian keterampilan yang sesungguhnya. Praktik demikian menempatkan hukum lalu lintas sebagai norma yang berlaku secara yuridis tetapi lemah secara sosiologis, karena kepatuhan hanya muncul ketika petugas hadir di ruas jalan. Dalam perspektif Soekanto (2016), efektivitas penegakan hukum tidak hanya ditentukan oleh kaidahnya, melainkan juga oleh aparat penegak hukum, sarana dan fasilitas, masyarakat, dan kebudayaan hukum yang hidup di dalamnya.</w:t>
      </w:r>
    </w:p>
    <w:p w14:paraId="59DE14D7"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Sejumlah kajian terdahulu telah membahas persoalan ini dari sudut yang berbeda. Aco dkk. (2016) meneliti tingkat kepatuhan hukum berlalu lintas bagi pengemudi angkutan umum kota dan menemukan rendahnya disiplin pengemudi terhadap titik pemberhentian resmi, sedangkan Rusmini (2022) memfokuskan kajian pada penanggulangan pelanggaran kewajiban menyalakan lampu utama pada siang hari berdasarkan Pasal 293 ayat (2) Undang-Undang Nomor 22 Tahun 2009. Kajian-kajian tersebut umumnya berhenti pada deskripsi tingkat kepatuhan atau pada satu jenis pelanggaran tertentu, dan belum menghubungkan faktor penyebab pelanggaran dengan strategi penanggulangan yang berlapis pada konteks kota kecil di kawasan timur Indonesia. Di sinilah letak kesenjangan kajian yang hendak diisi: Manokwari memiliki karakteristik khusus berupa keterbatasan prasarana jalan, keterbatasan titik pemberhentian resmi, dan ketergantungan tinggi pada angkutan umum, yang menuntut analisis hukum yang tidak sekadar menyalin ketentuan undang-undang.</w:t>
      </w:r>
    </w:p>
    <w:p w14:paraId="37D2666E"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Urgensi kajian ini juga bertambah seiring berlakunya Undang-Undang Nomor 1 Tahun 2023 tentang Kitab Undang-Undang Hukum Pidana pada 2 Januari 2026, yang menggeser orientasi pemidanaan ke arah keadilan korektif, restoratif, dan rehabilitatif serta menata ulang sistem pidana denda melalui kategorisasi. Meskipun pelanggaran lalu lintas tetap tunduk pada Undang-Undang Nomor 22 Tahun 2009 sebagai lex specialis, pergeseran paradigma pemidanaan tersebut menuntut agar penindakan pelanggaran lalu lintas tidak dimaknai semata sebagai pemungutan denda, melainkan sebagai sarana pembentukan perilaku tertib.</w:t>
      </w:r>
    </w:p>
    <w:p w14:paraId="1DB05A23"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Berdasarkan uraian tersebut, artikel ini bertujuan untuk menganalisis faktor penyebab terjadinya pelanggaran lalu lintas oleh pengemudi angkutan umum di Kota Manokwari dan mengkaji upaya penanggulangannya. Kontribusi teoretis artikel ini adalah memperkaya kajian penegakan hukum lalu lintas dengan membaca temuan lapangan melalui teori tujuan hukum dan teori negara hukum, sedangkan kontribusi praktisnya berupa masukan bagi kepolisian, dinas perhubungan, dan pemerintah daerah dalam merancang penanggulangan pelanggaran yang berkelanjutan.</w:t>
      </w:r>
    </w:p>
    <w:p w14:paraId="117EB1D5" w14:textId="77777777" w:rsidR="001E0508" w:rsidRPr="001C62FB" w:rsidRDefault="006F0069" w:rsidP="006F0069">
      <w:pPr>
        <w:pStyle w:val="Heading3"/>
        <w:ind w:left="1134" w:hanging="283"/>
      </w:pPr>
      <w:r>
        <w:t>METODOLOGI PENELITIAN</w:t>
      </w:r>
    </w:p>
    <w:p w14:paraId="554F5361" w14:textId="5C7D14CE" w:rsidR="001C62FB" w:rsidRPr="00955050" w:rsidRDefault="001C62FB" w:rsidP="00955050">
      <w:pPr>
        <w:pStyle w:val="Heading2"/>
        <w:ind w:right="322"/>
        <w:rPr>
          <w:rStyle w:val="mediumtext"/>
        </w:rPr>
      </w:pPr>
      <w:r>
        <w:rPr>
          <w:rStyle w:val="mediumtext"/>
        </w:rPr>
        <w:t>2.1 Jenis dan Pendekatan Penelitian</w:t>
      </w:r>
    </w:p>
    <w:p w14:paraId="4478E5EF"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4B1793">
        <w:rPr>
          <w:rStyle w:val="longtext"/>
          <w:rFonts w:ascii="Segoe UI" w:hAnsi="Segoe UI" w:cs="Segoe UI"/>
          <w:sz w:val="22"/>
          <w:szCs w:val="22"/>
          <w:shd w:val="clear" w:color="auto" w:fill="FFFFFF"/>
          <w:lang w:val="id-ID"/>
        </w:rPr>
        <w:t xml:space="preserve">Penelitian ini merupakan penelitian hukum normatif, yaitu penelitian yang berfokus pada pengkajian norma hukum positif yang mengatur perilaku pengemudi kendaraan bermotor umum serta penerapannya terhadap persoalan pelanggaran lalu lintas oleh pengemudi angkutan umum. Pendekatan yang digunakan adalah pendekatan studi kasus hukum (legal case study), yaitu menelaah kasus konkret pelanggaran lalu lintas di Kota Manokwari sebagai pintu masuk untuk menguji </w:t>
      </w:r>
      <w:r w:rsidRPr="004B1793">
        <w:rPr>
          <w:rStyle w:val="longtext"/>
          <w:rFonts w:ascii="Segoe UI" w:hAnsi="Segoe UI" w:cs="Segoe UI"/>
          <w:sz w:val="22"/>
          <w:szCs w:val="22"/>
          <w:shd w:val="clear" w:color="auto" w:fill="FFFFFF"/>
          <w:lang w:val="id-ID"/>
        </w:rPr>
        <w:lastRenderedPageBreak/>
        <w:t xml:space="preserve">kesesuaian antara norma dan kenyataan. </w:t>
      </w:r>
      <w:proofErr w:type="spellStart"/>
      <w:r>
        <w:rPr>
          <w:rStyle w:val="longtext"/>
          <w:rFonts w:ascii="Segoe UI" w:hAnsi="Segoe UI" w:cs="Segoe UI"/>
          <w:sz w:val="22"/>
          <w:szCs w:val="22"/>
          <w:shd w:val="clear" w:color="auto" w:fill="FFFFFF"/>
          <w:lang w:val="sv-SE"/>
        </w:rPr>
        <w:t>Pendekatan</w:t>
      </w:r>
      <w:proofErr w:type="spellEnd"/>
      <w:r>
        <w:rPr>
          <w:rStyle w:val="longtext"/>
          <w:rFonts w:ascii="Segoe UI" w:hAnsi="Segoe UI" w:cs="Segoe UI"/>
          <w:sz w:val="22"/>
          <w:szCs w:val="22"/>
          <w:shd w:val="clear" w:color="auto" w:fill="FFFFFF"/>
          <w:lang w:val="sv-SE"/>
        </w:rPr>
        <w:t xml:space="preserve"> ini </w:t>
      </w:r>
      <w:proofErr w:type="spellStart"/>
      <w:r>
        <w:rPr>
          <w:rStyle w:val="longtext"/>
          <w:rFonts w:ascii="Segoe UI" w:hAnsi="Segoe UI" w:cs="Segoe UI"/>
          <w:sz w:val="22"/>
          <w:szCs w:val="22"/>
          <w:shd w:val="clear" w:color="auto" w:fill="FFFFFF"/>
          <w:lang w:val="sv-SE"/>
        </w:rPr>
        <w:t>dilengkapi</w:t>
      </w:r>
      <w:proofErr w:type="spellEnd"/>
      <w:r>
        <w:rPr>
          <w:rStyle w:val="longtext"/>
          <w:rFonts w:ascii="Segoe UI" w:hAnsi="Segoe UI" w:cs="Segoe UI"/>
          <w:sz w:val="22"/>
          <w:szCs w:val="22"/>
          <w:shd w:val="clear" w:color="auto" w:fill="FFFFFF"/>
          <w:lang w:val="sv-SE"/>
        </w:rPr>
        <w:t xml:space="preserve"> </w:t>
      </w:r>
      <w:proofErr w:type="spellStart"/>
      <w:r>
        <w:rPr>
          <w:rStyle w:val="longtext"/>
          <w:rFonts w:ascii="Segoe UI" w:hAnsi="Segoe UI" w:cs="Segoe UI"/>
          <w:sz w:val="22"/>
          <w:szCs w:val="22"/>
          <w:shd w:val="clear" w:color="auto" w:fill="FFFFFF"/>
          <w:lang w:val="sv-SE"/>
        </w:rPr>
        <w:t>dengan</w:t>
      </w:r>
      <w:proofErr w:type="spellEnd"/>
      <w:r>
        <w:rPr>
          <w:rStyle w:val="longtext"/>
          <w:rFonts w:ascii="Segoe UI" w:hAnsi="Segoe UI" w:cs="Segoe UI"/>
          <w:sz w:val="22"/>
          <w:szCs w:val="22"/>
          <w:shd w:val="clear" w:color="auto" w:fill="FFFFFF"/>
          <w:lang w:val="sv-SE"/>
        </w:rPr>
        <w:t xml:space="preserve"> pendekatan perundang-undangan, karena objek kajian bertumpu pada Undang-Undang Nomor 22 Tahun 2009 beserta peraturan pelaksanaannya. Untuk menutup keterbatasan bahan hukum tertulis, penelitian didukung data lapangan sehingga analisis norma tidak terlepas dari konteks empiris tempat norma itu bekerja.</w:t>
      </w:r>
    </w:p>
    <w:p w14:paraId="6D19EC72" w14:textId="77777777" w:rsidR="001C62FB" w:rsidRPr="00955050" w:rsidRDefault="001C62FB" w:rsidP="00955050">
      <w:pPr>
        <w:pStyle w:val="Heading2"/>
        <w:ind w:right="322"/>
        <w:rPr>
          <w:rStyle w:val="mediumtext"/>
        </w:rPr>
      </w:pPr>
      <w:r>
        <w:rPr>
          <w:rStyle w:val="mediumtext"/>
        </w:rPr>
        <w:t>2.2 Lokasi dan Objek Penelitian</w:t>
      </w:r>
    </w:p>
    <w:p w14:paraId="1690BD77"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Penelitian dilaksanakan di Kota Manokwari, Provinsi Papua Barat, dengan objek kajian berupa faktor penyebab pelanggaran lalu lintas oleh pengemudi angkutan umum dan upaya penanggulangannya. Pemilihan lokasi didasarkan pada karakteristik Manokwari sebagai ibu kota provinsi yang mengalami pertumbuhan kendaraan yang tidak seimbang dengan pengembangan prasarana jalan, sehingga persoalan ketertiban lalu lintas menjadi relevan untuk dikaji.</w:t>
      </w:r>
    </w:p>
    <w:p w14:paraId="49C12F02" w14:textId="77777777" w:rsidR="001C62FB" w:rsidRPr="00955050" w:rsidRDefault="001C62FB" w:rsidP="00955050">
      <w:pPr>
        <w:pStyle w:val="Heading2"/>
        <w:ind w:right="322"/>
        <w:rPr>
          <w:rStyle w:val="mediumtext"/>
        </w:rPr>
      </w:pPr>
      <w:r>
        <w:rPr>
          <w:rStyle w:val="mediumtext"/>
        </w:rPr>
        <w:t>2.3 Jenis, Sumber Data, dan Teknik Pengumpulan</w:t>
      </w:r>
    </w:p>
    <w:p w14:paraId="13354316"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Data yang digunakan terdiri atas data primer dan data sekunder. Data primer diperoleh melalui penelitian lapangan (field research) berupa pengamatan langsung terhadap perilaku pengemudi angkutan umum di ruas jalan Kota Manokwari serta wawancara dengan pelanggar lalu lintas dan Kepala Satuan Lalu Lintas Polres Manokwari. Data sekunder diperoleh melalui penelitian kepustakaan (library research) yang mencakup bahan hukum primer berupa Undang-Undang Nomor 22 Tahun 2009 tentang Lalu Lintas dan Angkutan Jalan, Peraturan Menteri Perhubungan Nomor 74 Tahun 2016, dan Keputusan Menteri Perhubungan Nomor KM 35 Tahun 2003; bahan hukum sekunder berupa buku, jurnal, dan hasil penelitian terdahulu; serta bahan hukum tersier berupa kamus hukum dan kamus bahasa.</w:t>
      </w:r>
    </w:p>
    <w:p w14:paraId="7D5B50EB" w14:textId="77777777" w:rsidR="001C62FB" w:rsidRPr="00955050" w:rsidRDefault="001C62FB" w:rsidP="00955050">
      <w:pPr>
        <w:pStyle w:val="Heading2"/>
        <w:ind w:right="322"/>
        <w:rPr>
          <w:rStyle w:val="mediumtext"/>
        </w:rPr>
      </w:pPr>
      <w:r>
        <w:rPr>
          <w:rStyle w:val="mediumtext"/>
        </w:rPr>
        <w:t>2.4 Teknik Analisis Data</w:t>
      </w:r>
    </w:p>
    <w:p w14:paraId="333C54D6"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Seluruh data yang terkumpul disusun, direduksi, dan dianalisis secara kualitatif, kemudian diuraikan secara deskriptif. Analisis dilakukan dengan menempatkan temuan lapangan sebagai fakta, kemudian menguji fakta itu terhadap norma hukum yang berlaku, dan selanjutnya menafsirkannya dengan teori tujuan hukum (keadilan, kepastian hukum, dan kemanfaatan) serta teori negara hukum. Alur analisis tersebut ditempuh agar artikel ini tidak berhenti pada penggambaran perilaku pelanggar, melainkan sampai pada penilaian mengenai bekerjanya hukum lalu lintas di Kota Manokwari.</w:t>
      </w:r>
    </w:p>
    <w:p w14:paraId="2C8F6D2F" w14:textId="77777777" w:rsidR="001E0508" w:rsidRPr="001C62FB" w:rsidRDefault="006F0069" w:rsidP="006F0069">
      <w:pPr>
        <w:pStyle w:val="Heading3"/>
        <w:ind w:left="1134" w:hanging="283"/>
      </w:pPr>
      <w:r>
        <w:t>HASIL DAN PEMBAHASAN</w:t>
      </w:r>
    </w:p>
    <w:p w14:paraId="155C7CF1" w14:textId="77777777" w:rsidR="001C62FB" w:rsidRPr="00955050" w:rsidRDefault="001C62FB" w:rsidP="00955050">
      <w:pPr>
        <w:pStyle w:val="Heading2"/>
        <w:ind w:right="322"/>
        <w:rPr>
          <w:rStyle w:val="mediumtext"/>
        </w:rPr>
      </w:pPr>
      <w:r>
        <w:rPr>
          <w:rStyle w:val="mediumtext"/>
        </w:rPr>
        <w:t>3.1 Faktor Penyebab Terjadinya Pelanggaran Lalu Lintas di Kota Manokwari</w:t>
      </w:r>
    </w:p>
    <w:p w14:paraId="1831ED5D"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Hasil pengamatan dan wawancara menunjukkan bahwa pelanggaran lalu lintas di Kota Manokwari bertumpu pada tiga faktor yang saling berkaitan, yaitu faktor manusia, faktor kendaraan, dan faktor jalan. Ketiganya merupakan komponen utama peristiwa lalu lintas, yaitu manusia sebagai pengguna, kendaraan sebagai sarana, dan jalan sebagai prasarana, yang seluruhnya harus memenuhi syarat kelaikan agar lalu lintas berlangsung tertib (Hobbs, 1995; Suwardjoko, 2002). Di antara ketiganya, faktor manusia menempati posisi dominan karena berkaitan langsung dengan sikap, pengetahuan, dan keterampilan pengguna jalan.</w:t>
      </w:r>
    </w:p>
    <w:p w14:paraId="4E6BCB05"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Pada tataran fakta, wawancara dengan pelanggar dan Kepala Satuan Lalu Lintas Polres Manokwari mengungkapkan alasan pelanggaran yang berulang: terburu-buru, </w:t>
      </w:r>
      <w:r>
        <w:rPr>
          <w:rStyle w:val="longtext"/>
          <w:rFonts w:ascii="Segoe UI" w:hAnsi="Segoe UI" w:cs="Segoe UI"/>
          <w:sz w:val="22"/>
          <w:szCs w:val="22"/>
          <w:shd w:val="clear" w:color="auto" w:fill="FFFFFF"/>
          <w:lang w:val="sv-SE"/>
        </w:rPr>
        <w:lastRenderedPageBreak/>
        <w:t>lupa membawa kelengkapan berkendara, belum cukup umur untuk memiliki Surat Izin Mengemudi, tidak memiliki dana untuk membayar pajak kendaraan, hingga pengulangan pelanggaran yang sama oleh orang yang sebelumnya telah ditindak. Ditemukan pula praktik memperoleh Surat Izin Mengemudi melalui jalur tidak resmi dengan bantuan pihak yang tidak bertanggung jawab, sehingga pemegangnya tidak pernah benar-benar diuji keterampilannya. Kepatuhan pengemudi cenderung bersifat situasional, yaitu muncul hanya ketika petugas berjaga atau berpatroli di ruas jalan.</w:t>
      </w:r>
    </w:p>
    <w:p w14:paraId="18586E8A"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Fakta tersebut apabila dihadapkan pada norma menunjukkan ketidaksesuaian yang jelas. Perbuatan berhenti, mengetem, dan menurunkan penumpang di sembarang tempat merupakan unsur perbuatan yang dilarang Pasal 126 Undang-Undang Nomor 22 Tahun 2009 dan diancam pidana oleh Pasal 302, sedangkan mengemudi tanpa Surat Izin Mengemudi memenuhi rumusan Pasal 281, dan penggunaan kendaraan yang tidak laik jalan memenuhi rumusan Pasal 285. Pemetaan hubungan antara bentuk perbuatan, norma larangan, dan ancaman pidananya disajikan pada Tabel 1.</w:t>
      </w:r>
    </w:p>
    <w:p w14:paraId="0A46C879" w14:textId="77777777"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4"/>
          <w:footerReference w:type="default" r:id="rId15"/>
          <w:headerReference w:type="first" r:id="rId16"/>
          <w:type w:val="continuous"/>
          <w:pgSz w:w="11906" w:h="16838" w:code="9"/>
          <w:pgMar w:top="1440" w:right="1440" w:bottom="1440" w:left="1440" w:header="709" w:footer="709" w:gutter="0"/>
          <w:cols w:space="708"/>
          <w:titlePg/>
          <w:docGrid w:linePitch="360"/>
        </w:sectPr>
      </w:pPr>
    </w:p>
    <w:p w14:paraId="7EF45635" w14:textId="0AF9A58F" w:rsidR="006F0069" w:rsidRPr="004B1793" w:rsidRDefault="006F0069" w:rsidP="006F0069">
      <w:pPr>
        <w:tabs>
          <w:tab w:val="left" w:pos="450"/>
        </w:tabs>
        <w:spacing w:before="100" w:beforeAutospacing="1" w:after="100" w:afterAutospacing="1"/>
        <w:contextualSpacing/>
        <w:jc w:val="center"/>
        <w:rPr>
          <w:rFonts w:eastAsia="Constantia" w:cs="Segoe UI"/>
          <w:sz w:val="20"/>
          <w:szCs w:val="20"/>
          <w:lang w:val="sv-SE"/>
        </w:rPr>
      </w:pPr>
      <w:proofErr w:type="spellStart"/>
      <w:r w:rsidRPr="004B1793">
        <w:rPr>
          <w:rFonts w:eastAsia="Constantia" w:cs="Segoe UI"/>
          <w:b/>
          <w:bCs/>
          <w:sz w:val="20"/>
          <w:szCs w:val="20"/>
          <w:lang w:val="sv-SE"/>
        </w:rPr>
        <w:t>Tabel</w:t>
      </w:r>
      <w:proofErr w:type="spellEnd"/>
      <w:r w:rsidRPr="004B1793">
        <w:rPr>
          <w:rFonts w:eastAsia="Constantia" w:cs="Segoe UI"/>
          <w:b/>
          <w:bCs/>
          <w:sz w:val="20"/>
          <w:szCs w:val="20"/>
          <w:lang w:val="sv-SE"/>
        </w:rPr>
        <w:t xml:space="preserve"> 1. </w:t>
      </w:r>
      <w:proofErr w:type="spellStart"/>
      <w:r w:rsidRPr="004B1793">
        <w:rPr>
          <w:rFonts w:eastAsia="Constantia" w:cs="Segoe UI"/>
          <w:b/>
          <w:bCs/>
          <w:sz w:val="20"/>
          <w:szCs w:val="20"/>
          <w:lang w:val="sv-SE"/>
        </w:rPr>
        <w:t>Bentuk</w:t>
      </w:r>
      <w:proofErr w:type="spellEnd"/>
      <w:r w:rsidRPr="004B1793">
        <w:rPr>
          <w:rFonts w:eastAsia="Constantia" w:cs="Segoe UI"/>
          <w:b/>
          <w:bCs/>
          <w:sz w:val="20"/>
          <w:szCs w:val="20"/>
          <w:lang w:val="sv-SE"/>
        </w:rPr>
        <w:t xml:space="preserve"> </w:t>
      </w:r>
      <w:proofErr w:type="spellStart"/>
      <w:r w:rsidRPr="004B1793">
        <w:rPr>
          <w:rFonts w:eastAsia="Constantia" w:cs="Segoe UI"/>
          <w:b/>
          <w:bCs/>
          <w:sz w:val="20"/>
          <w:szCs w:val="20"/>
          <w:lang w:val="sv-SE"/>
        </w:rPr>
        <w:t>Pelanggaran</w:t>
      </w:r>
      <w:proofErr w:type="spellEnd"/>
      <w:r w:rsidRPr="004B1793">
        <w:rPr>
          <w:rFonts w:eastAsia="Constantia" w:cs="Segoe UI"/>
          <w:b/>
          <w:bCs/>
          <w:sz w:val="20"/>
          <w:szCs w:val="20"/>
          <w:lang w:val="sv-SE"/>
        </w:rPr>
        <w:t xml:space="preserve"> </w:t>
      </w:r>
      <w:proofErr w:type="spellStart"/>
      <w:r w:rsidRPr="004B1793">
        <w:rPr>
          <w:rFonts w:eastAsia="Constantia" w:cs="Segoe UI"/>
          <w:b/>
          <w:bCs/>
          <w:sz w:val="20"/>
          <w:szCs w:val="20"/>
          <w:lang w:val="sv-SE"/>
        </w:rPr>
        <w:t>Pengemudi</w:t>
      </w:r>
      <w:proofErr w:type="spellEnd"/>
      <w:r w:rsidRPr="004B1793">
        <w:rPr>
          <w:rFonts w:eastAsia="Constantia" w:cs="Segoe UI"/>
          <w:b/>
          <w:bCs/>
          <w:sz w:val="20"/>
          <w:szCs w:val="20"/>
          <w:lang w:val="sv-SE"/>
        </w:rPr>
        <w:t xml:space="preserve"> </w:t>
      </w:r>
      <w:proofErr w:type="spellStart"/>
      <w:r w:rsidRPr="004B1793">
        <w:rPr>
          <w:rFonts w:eastAsia="Constantia" w:cs="Segoe UI"/>
          <w:b/>
          <w:bCs/>
          <w:sz w:val="20"/>
          <w:szCs w:val="20"/>
          <w:lang w:val="sv-SE"/>
        </w:rPr>
        <w:t>Angkutan</w:t>
      </w:r>
      <w:proofErr w:type="spellEnd"/>
      <w:r w:rsidRPr="004B1793">
        <w:rPr>
          <w:rFonts w:eastAsia="Constantia" w:cs="Segoe UI"/>
          <w:b/>
          <w:bCs/>
          <w:sz w:val="20"/>
          <w:szCs w:val="20"/>
          <w:lang w:val="sv-SE"/>
        </w:rPr>
        <w:t xml:space="preserve"> </w:t>
      </w:r>
      <w:proofErr w:type="spellStart"/>
      <w:r w:rsidRPr="004B1793">
        <w:rPr>
          <w:rFonts w:eastAsia="Constantia" w:cs="Segoe UI"/>
          <w:b/>
          <w:bCs/>
          <w:sz w:val="20"/>
          <w:szCs w:val="20"/>
          <w:lang w:val="sv-SE"/>
        </w:rPr>
        <w:t>Umum</w:t>
      </w:r>
      <w:proofErr w:type="spellEnd"/>
      <w:r w:rsidRPr="004B1793">
        <w:rPr>
          <w:rFonts w:eastAsia="Constantia" w:cs="Segoe UI"/>
          <w:b/>
          <w:bCs/>
          <w:sz w:val="20"/>
          <w:szCs w:val="20"/>
          <w:lang w:val="sv-SE"/>
        </w:rPr>
        <w:t xml:space="preserve"> dan Dasar </w:t>
      </w:r>
      <w:proofErr w:type="spellStart"/>
      <w:r w:rsidRPr="004B1793">
        <w:rPr>
          <w:rFonts w:eastAsia="Constantia" w:cs="Segoe UI"/>
          <w:b/>
          <w:bCs/>
          <w:sz w:val="20"/>
          <w:szCs w:val="20"/>
          <w:lang w:val="sv-SE"/>
        </w:rPr>
        <w:t>Hukumnya</w:t>
      </w:r>
      <w:proofErr w:type="spellEnd"/>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445"/>
        <w:gridCol w:w="2230"/>
        <w:gridCol w:w="2851"/>
      </w:tblGrid>
      <w:tr w:rsidR="006F0069" w:rsidRPr="006F0069" w14:paraId="5B2BAC62" w14:textId="77777777" w:rsidTr="006F0069">
        <w:trPr>
          <w:tblHeader/>
          <w:tblCellSpacing w:w="15" w:type="dxa"/>
          <w:jc w:val="center"/>
        </w:trPr>
        <w:tc>
          <w:tcPr>
            <w:tcW w:w="2400" w:type="dxa"/>
            <w:tcBorders>
              <w:top w:val="single" w:sz="4" w:space="0" w:color="auto"/>
              <w:bottom w:val="single" w:sz="4" w:space="0" w:color="auto"/>
            </w:tcBorders>
            <w:vAlign w:val="center"/>
          </w:tcPr>
          <w:p w14:paraId="7E9C2C61"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proofErr w:type="spellStart"/>
            <w:r>
              <w:rPr>
                <w:rFonts w:eastAsia="Constantia" w:cs="Segoe UI"/>
                <w:b/>
                <w:bCs/>
                <w:sz w:val="18"/>
                <w:szCs w:val="18"/>
                <w:lang w:val="en-US"/>
              </w:rPr>
              <w:t>Bentuk</w:t>
            </w:r>
            <w:proofErr w:type="spellEnd"/>
            <w:r>
              <w:rPr>
                <w:rFonts w:eastAsia="Constantia" w:cs="Segoe UI"/>
                <w:b/>
                <w:bCs/>
                <w:sz w:val="18"/>
                <w:szCs w:val="18"/>
                <w:lang w:val="en-US"/>
              </w:rPr>
              <w:t xml:space="preserve"> </w:t>
            </w:r>
            <w:proofErr w:type="spellStart"/>
            <w:r>
              <w:rPr>
                <w:rFonts w:eastAsia="Constantia" w:cs="Segoe UI"/>
                <w:b/>
                <w:bCs/>
                <w:sz w:val="18"/>
                <w:szCs w:val="18"/>
                <w:lang w:val="en-US"/>
              </w:rPr>
              <w:t>Pelanggaran</w:t>
            </w:r>
            <w:proofErr w:type="spellEnd"/>
          </w:p>
        </w:tc>
        <w:tc>
          <w:tcPr>
            <w:tcW w:w="2200" w:type="dxa"/>
            <w:tcBorders>
              <w:top w:val="single" w:sz="4" w:space="0" w:color="auto"/>
              <w:bottom w:val="single" w:sz="4" w:space="0" w:color="auto"/>
            </w:tcBorders>
            <w:vAlign w:val="center"/>
          </w:tcPr>
          <w:p w14:paraId="5885889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Pr>
                <w:rFonts w:eastAsia="Constantia" w:cs="Segoe UI"/>
                <w:b/>
                <w:bCs/>
                <w:sz w:val="18"/>
                <w:szCs w:val="18"/>
                <w:lang w:val="en-US"/>
              </w:rPr>
              <w:t>Norma Larangan</w:t>
            </w:r>
          </w:p>
        </w:tc>
        <w:tc>
          <w:tcPr>
            <w:tcW w:w="2806" w:type="dxa"/>
            <w:tcBorders>
              <w:top w:val="single" w:sz="4" w:space="0" w:color="auto"/>
              <w:bottom w:val="single" w:sz="4" w:space="0" w:color="auto"/>
            </w:tcBorders>
            <w:vAlign w:val="center"/>
          </w:tcPr>
          <w:p w14:paraId="15D629BB"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Pr>
                <w:rFonts w:eastAsia="Constantia" w:cs="Segoe UI"/>
                <w:b/>
                <w:bCs/>
                <w:sz w:val="18"/>
                <w:szCs w:val="18"/>
                <w:lang w:val="en-US"/>
              </w:rPr>
              <w:t>Ketentuan Pidana</w:t>
            </w:r>
          </w:p>
        </w:tc>
      </w:tr>
      <w:tr w:rsidR="006F0069" w:rsidRPr="006F0069" w14:paraId="28EBB1D5" w14:textId="77777777" w:rsidTr="006F0069">
        <w:trPr>
          <w:trHeight w:val="258"/>
          <w:tblCellSpacing w:w="15" w:type="dxa"/>
          <w:jc w:val="center"/>
        </w:trPr>
        <w:tc>
          <w:tcPr>
            <w:tcW w:w="2400" w:type="dxa"/>
            <w:vMerge w:val="restart"/>
            <w:vAlign w:val="center"/>
          </w:tcPr>
          <w:p w14:paraId="35811819" w14:textId="77777777" w:rsidR="006F0069" w:rsidRPr="004B1793" w:rsidRDefault="006F0069" w:rsidP="00FF6A7A">
            <w:pPr>
              <w:tabs>
                <w:tab w:val="left" w:pos="450"/>
              </w:tabs>
              <w:spacing w:before="100" w:beforeAutospacing="1" w:after="100" w:afterAutospacing="1"/>
              <w:contextualSpacing/>
              <w:jc w:val="left"/>
              <w:rPr>
                <w:rFonts w:eastAsia="Constantia" w:cs="Segoe UI"/>
                <w:sz w:val="18"/>
                <w:szCs w:val="18"/>
                <w:lang w:val="sv-SE"/>
              </w:rPr>
            </w:pPr>
            <w:proofErr w:type="spellStart"/>
            <w:r w:rsidRPr="004B1793">
              <w:rPr>
                <w:rFonts w:eastAsia="Constantia" w:cs="Segoe UI"/>
                <w:sz w:val="18"/>
                <w:szCs w:val="18"/>
                <w:lang w:val="sv-SE"/>
              </w:rPr>
              <w:t>Memberhentikan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kendaraan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selain</w:t>
            </w:r>
            <w:proofErr w:type="spellEnd"/>
            <w:r w:rsidRPr="004B1793">
              <w:rPr>
                <w:rFonts w:eastAsia="Constantia" w:cs="Segoe UI"/>
                <w:sz w:val="18"/>
                <w:szCs w:val="18"/>
                <w:lang w:val="sv-SE"/>
              </w:rPr>
              <w:t xml:space="preserve"> di </w:t>
            </w:r>
            <w:proofErr w:type="spellStart"/>
            <w:r w:rsidRPr="004B1793">
              <w:rPr>
                <w:rFonts w:eastAsia="Constantia" w:cs="Segoe UI"/>
                <w:sz w:val="18"/>
                <w:szCs w:val="18"/>
                <w:lang w:val="sv-SE"/>
              </w:rPr>
              <w:t>tempat</w:t>
            </w:r>
            <w:proofErr w:type="spellEnd"/>
            <w:r w:rsidRPr="004B1793">
              <w:rPr>
                <w:rFonts w:eastAsia="Constantia" w:cs="Segoe UI"/>
                <w:sz w:val="18"/>
                <w:szCs w:val="18"/>
                <w:lang w:val="sv-SE"/>
              </w:rPr>
              <w:t xml:space="preserve"> yang </w:t>
            </w:r>
            <w:proofErr w:type="spellStart"/>
            <w:r w:rsidRPr="004B1793">
              <w:rPr>
                <w:rFonts w:eastAsia="Constantia" w:cs="Segoe UI"/>
                <w:sz w:val="18"/>
                <w:szCs w:val="18"/>
                <w:lang w:val="sv-SE"/>
              </w:rPr>
              <w:t>ditentukan</w:t>
            </w:r>
            <w:proofErr w:type="spellEnd"/>
          </w:p>
        </w:tc>
        <w:tc>
          <w:tcPr>
            <w:tcW w:w="2200" w:type="dxa"/>
            <w:vMerge w:val="restart"/>
            <w:vAlign w:val="center"/>
          </w:tcPr>
          <w:p w14:paraId="540B9DBC"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Pr>
                <w:rFonts w:eastAsia="Constantia" w:cs="Segoe UI"/>
                <w:sz w:val="18"/>
                <w:szCs w:val="18"/>
                <w:lang w:val="en-US"/>
              </w:rPr>
              <w:t xml:space="preserve">Pasal 126 </w:t>
            </w:r>
            <w:proofErr w:type="spellStart"/>
            <w:r>
              <w:rPr>
                <w:rFonts w:eastAsia="Constantia" w:cs="Segoe UI"/>
                <w:sz w:val="18"/>
                <w:szCs w:val="18"/>
                <w:lang w:val="en-US"/>
              </w:rPr>
              <w:t>huruf</w:t>
            </w:r>
            <w:proofErr w:type="spellEnd"/>
            <w:r>
              <w:rPr>
                <w:rFonts w:eastAsia="Constantia" w:cs="Segoe UI"/>
                <w:sz w:val="18"/>
                <w:szCs w:val="18"/>
                <w:lang w:val="en-US"/>
              </w:rPr>
              <w:t xml:space="preserve"> a</w:t>
            </w:r>
          </w:p>
        </w:tc>
        <w:tc>
          <w:tcPr>
            <w:tcW w:w="2806" w:type="dxa"/>
            <w:vMerge w:val="restart"/>
            <w:vAlign w:val="center"/>
          </w:tcPr>
          <w:p w14:paraId="5CAF14FB" w14:textId="77777777" w:rsidR="006F0069" w:rsidRPr="004B1793" w:rsidRDefault="006F0069" w:rsidP="00FF6A7A">
            <w:pPr>
              <w:tabs>
                <w:tab w:val="left" w:pos="450"/>
              </w:tabs>
              <w:spacing w:before="100" w:beforeAutospacing="1" w:after="100" w:afterAutospacing="1"/>
              <w:contextualSpacing/>
              <w:jc w:val="left"/>
              <w:rPr>
                <w:rFonts w:eastAsia="Constantia" w:cs="Segoe UI"/>
                <w:sz w:val="18"/>
                <w:szCs w:val="18"/>
                <w:lang w:val="sv-SE"/>
              </w:rPr>
            </w:pPr>
            <w:proofErr w:type="spellStart"/>
            <w:r w:rsidRPr="004B1793">
              <w:rPr>
                <w:rFonts w:eastAsia="Constantia" w:cs="Segoe UI"/>
                <w:sz w:val="18"/>
                <w:szCs w:val="18"/>
                <w:lang w:val="sv-SE"/>
              </w:rPr>
              <w:t>Pasal</w:t>
            </w:r>
            <w:proofErr w:type="spellEnd"/>
            <w:r w:rsidRPr="004B1793">
              <w:rPr>
                <w:rFonts w:eastAsia="Constantia" w:cs="Segoe UI"/>
                <w:sz w:val="18"/>
                <w:szCs w:val="18"/>
                <w:lang w:val="sv-SE"/>
              </w:rPr>
              <w:t xml:space="preserve"> 302: </w:t>
            </w:r>
            <w:proofErr w:type="spellStart"/>
            <w:r w:rsidRPr="004B1793">
              <w:rPr>
                <w:rFonts w:eastAsia="Constantia" w:cs="Segoe UI"/>
                <w:sz w:val="18"/>
                <w:szCs w:val="18"/>
                <w:lang w:val="sv-SE"/>
              </w:rPr>
              <w:t>kurungan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paling</w:t>
            </w:r>
            <w:proofErr w:type="spellEnd"/>
            <w:r w:rsidRPr="004B1793">
              <w:rPr>
                <w:rFonts w:eastAsia="Constantia" w:cs="Segoe UI"/>
                <w:sz w:val="18"/>
                <w:szCs w:val="18"/>
                <w:lang w:val="sv-SE"/>
              </w:rPr>
              <w:t xml:space="preserve"> lama 1 bulan </w:t>
            </w:r>
            <w:proofErr w:type="spellStart"/>
            <w:r w:rsidRPr="004B1793">
              <w:rPr>
                <w:rFonts w:eastAsia="Constantia" w:cs="Segoe UI"/>
                <w:sz w:val="18"/>
                <w:szCs w:val="18"/>
                <w:lang w:val="sv-SE"/>
              </w:rPr>
              <w:t>atau</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denda</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paling</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banyak</w:t>
            </w:r>
            <w:proofErr w:type="spellEnd"/>
            <w:r w:rsidRPr="004B1793">
              <w:rPr>
                <w:rFonts w:eastAsia="Constantia" w:cs="Segoe UI"/>
                <w:sz w:val="18"/>
                <w:szCs w:val="18"/>
                <w:lang w:val="sv-SE"/>
              </w:rPr>
              <w:t xml:space="preserve"> Rp250.000,00</w:t>
            </w:r>
          </w:p>
        </w:tc>
      </w:tr>
      <w:tr w:rsidR="006F0069" w:rsidRPr="006F0069" w14:paraId="7D385E33" w14:textId="77777777" w:rsidTr="006F0069">
        <w:trPr>
          <w:trHeight w:val="258"/>
          <w:tblCellSpacing w:w="15" w:type="dxa"/>
          <w:jc w:val="center"/>
        </w:trPr>
        <w:tc>
          <w:tcPr>
            <w:tcW w:w="2400" w:type="dxa"/>
            <w:vMerge w:val="restart"/>
            <w:vAlign w:val="center"/>
          </w:tcPr>
          <w:p w14:paraId="43C4B94D" w14:textId="77777777" w:rsidR="006F0069" w:rsidRPr="004B1793" w:rsidRDefault="006F0069" w:rsidP="00FF6A7A">
            <w:pPr>
              <w:tabs>
                <w:tab w:val="left" w:pos="450"/>
              </w:tabs>
              <w:spacing w:before="100" w:beforeAutospacing="1" w:after="100" w:afterAutospacing="1"/>
              <w:contextualSpacing/>
              <w:jc w:val="left"/>
              <w:rPr>
                <w:rFonts w:eastAsia="Constantia" w:cs="Segoe UI"/>
                <w:sz w:val="18"/>
                <w:szCs w:val="18"/>
                <w:lang w:val="sv-SE"/>
              </w:rPr>
            </w:pPr>
            <w:proofErr w:type="spellStart"/>
            <w:r w:rsidRPr="004B1793">
              <w:rPr>
                <w:rFonts w:eastAsia="Constantia" w:cs="Segoe UI"/>
                <w:sz w:val="18"/>
                <w:szCs w:val="18"/>
                <w:lang w:val="sv-SE"/>
              </w:rPr>
              <w:t>Mengetem</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selain</w:t>
            </w:r>
            <w:proofErr w:type="spellEnd"/>
            <w:r w:rsidRPr="004B1793">
              <w:rPr>
                <w:rFonts w:eastAsia="Constantia" w:cs="Segoe UI"/>
                <w:sz w:val="18"/>
                <w:szCs w:val="18"/>
                <w:lang w:val="sv-SE"/>
              </w:rPr>
              <w:t xml:space="preserve"> di </w:t>
            </w:r>
            <w:proofErr w:type="spellStart"/>
            <w:r w:rsidRPr="004B1793">
              <w:rPr>
                <w:rFonts w:eastAsia="Constantia" w:cs="Segoe UI"/>
                <w:sz w:val="18"/>
                <w:szCs w:val="18"/>
                <w:lang w:val="sv-SE"/>
              </w:rPr>
              <w:t>tempat</w:t>
            </w:r>
            <w:proofErr w:type="spellEnd"/>
            <w:r w:rsidRPr="004B1793">
              <w:rPr>
                <w:rFonts w:eastAsia="Constantia" w:cs="Segoe UI"/>
                <w:sz w:val="18"/>
                <w:szCs w:val="18"/>
                <w:lang w:val="sv-SE"/>
              </w:rPr>
              <w:t xml:space="preserve"> yang </w:t>
            </w:r>
            <w:proofErr w:type="spellStart"/>
            <w:r w:rsidRPr="004B1793">
              <w:rPr>
                <w:rFonts w:eastAsia="Constantia" w:cs="Segoe UI"/>
                <w:sz w:val="18"/>
                <w:szCs w:val="18"/>
                <w:lang w:val="sv-SE"/>
              </w:rPr>
              <w:t>ditentukan</w:t>
            </w:r>
            <w:proofErr w:type="spellEnd"/>
          </w:p>
        </w:tc>
        <w:tc>
          <w:tcPr>
            <w:tcW w:w="2200" w:type="dxa"/>
            <w:vMerge w:val="restart"/>
            <w:vAlign w:val="center"/>
          </w:tcPr>
          <w:p w14:paraId="6D0589D3"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Pr>
                <w:rFonts w:eastAsia="Constantia" w:cs="Segoe UI"/>
                <w:sz w:val="18"/>
                <w:szCs w:val="18"/>
                <w:lang w:val="en-US"/>
              </w:rPr>
              <w:t xml:space="preserve">Pasal 126 </w:t>
            </w:r>
            <w:proofErr w:type="spellStart"/>
            <w:r>
              <w:rPr>
                <w:rFonts w:eastAsia="Constantia" w:cs="Segoe UI"/>
                <w:sz w:val="18"/>
                <w:szCs w:val="18"/>
                <w:lang w:val="en-US"/>
              </w:rPr>
              <w:t>huruf</w:t>
            </w:r>
            <w:proofErr w:type="spellEnd"/>
            <w:r>
              <w:rPr>
                <w:rFonts w:eastAsia="Constantia" w:cs="Segoe UI"/>
                <w:sz w:val="18"/>
                <w:szCs w:val="18"/>
                <w:lang w:val="en-US"/>
              </w:rPr>
              <w:t xml:space="preserve"> b</w:t>
            </w:r>
          </w:p>
        </w:tc>
        <w:tc>
          <w:tcPr>
            <w:tcW w:w="2806" w:type="dxa"/>
            <w:vMerge w:val="restart"/>
            <w:vAlign w:val="center"/>
          </w:tcPr>
          <w:p w14:paraId="08854F1A" w14:textId="77777777" w:rsidR="006F0069" w:rsidRPr="004B1793" w:rsidRDefault="006F0069" w:rsidP="00FF6A7A">
            <w:pPr>
              <w:tabs>
                <w:tab w:val="left" w:pos="450"/>
              </w:tabs>
              <w:spacing w:before="100" w:beforeAutospacing="1" w:after="100" w:afterAutospacing="1"/>
              <w:contextualSpacing/>
              <w:jc w:val="left"/>
              <w:rPr>
                <w:rFonts w:eastAsia="Constantia" w:cs="Segoe UI"/>
                <w:sz w:val="18"/>
                <w:szCs w:val="18"/>
                <w:lang w:val="sv-SE"/>
              </w:rPr>
            </w:pPr>
            <w:proofErr w:type="spellStart"/>
            <w:r w:rsidRPr="004B1793">
              <w:rPr>
                <w:rFonts w:eastAsia="Constantia" w:cs="Segoe UI"/>
                <w:sz w:val="18"/>
                <w:szCs w:val="18"/>
                <w:lang w:val="sv-SE"/>
              </w:rPr>
              <w:t>Pasal</w:t>
            </w:r>
            <w:proofErr w:type="spellEnd"/>
            <w:r w:rsidRPr="004B1793">
              <w:rPr>
                <w:rFonts w:eastAsia="Constantia" w:cs="Segoe UI"/>
                <w:sz w:val="18"/>
                <w:szCs w:val="18"/>
                <w:lang w:val="sv-SE"/>
              </w:rPr>
              <w:t xml:space="preserve"> 302: </w:t>
            </w:r>
            <w:proofErr w:type="spellStart"/>
            <w:r w:rsidRPr="004B1793">
              <w:rPr>
                <w:rFonts w:eastAsia="Constantia" w:cs="Segoe UI"/>
                <w:sz w:val="18"/>
                <w:szCs w:val="18"/>
                <w:lang w:val="sv-SE"/>
              </w:rPr>
              <w:t>kurungan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paling</w:t>
            </w:r>
            <w:proofErr w:type="spellEnd"/>
            <w:r w:rsidRPr="004B1793">
              <w:rPr>
                <w:rFonts w:eastAsia="Constantia" w:cs="Segoe UI"/>
                <w:sz w:val="18"/>
                <w:szCs w:val="18"/>
                <w:lang w:val="sv-SE"/>
              </w:rPr>
              <w:t xml:space="preserve"> lama 1 bulan </w:t>
            </w:r>
            <w:proofErr w:type="spellStart"/>
            <w:r w:rsidRPr="004B1793">
              <w:rPr>
                <w:rFonts w:eastAsia="Constantia" w:cs="Segoe UI"/>
                <w:sz w:val="18"/>
                <w:szCs w:val="18"/>
                <w:lang w:val="sv-SE"/>
              </w:rPr>
              <w:t>atau</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denda</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paling</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banyak</w:t>
            </w:r>
            <w:proofErr w:type="spellEnd"/>
            <w:r w:rsidRPr="004B1793">
              <w:rPr>
                <w:rFonts w:eastAsia="Constantia" w:cs="Segoe UI"/>
                <w:sz w:val="18"/>
                <w:szCs w:val="18"/>
                <w:lang w:val="sv-SE"/>
              </w:rPr>
              <w:t xml:space="preserve"> Rp250.000,00</w:t>
            </w:r>
          </w:p>
        </w:tc>
      </w:tr>
      <w:tr w:rsidR="006F0069" w:rsidRPr="006F0069" w14:paraId="4333380F" w14:textId="77777777" w:rsidTr="006F0069">
        <w:trPr>
          <w:trHeight w:val="258"/>
          <w:tblCellSpacing w:w="15" w:type="dxa"/>
          <w:jc w:val="center"/>
        </w:trPr>
        <w:tc>
          <w:tcPr>
            <w:tcW w:w="2400" w:type="dxa"/>
            <w:vMerge w:val="restart"/>
            <w:vAlign w:val="center"/>
          </w:tcPr>
          <w:p w14:paraId="7682CED9" w14:textId="77777777" w:rsidR="006F0069" w:rsidRPr="004B1793" w:rsidRDefault="006F0069" w:rsidP="00FF6A7A">
            <w:pPr>
              <w:tabs>
                <w:tab w:val="left" w:pos="450"/>
              </w:tabs>
              <w:spacing w:before="100" w:beforeAutospacing="1" w:after="100" w:afterAutospacing="1"/>
              <w:contextualSpacing/>
              <w:jc w:val="left"/>
              <w:rPr>
                <w:rFonts w:eastAsia="Constantia" w:cs="Segoe UI"/>
                <w:sz w:val="18"/>
                <w:szCs w:val="18"/>
                <w:lang w:val="sv-SE"/>
              </w:rPr>
            </w:pPr>
            <w:proofErr w:type="spellStart"/>
            <w:r w:rsidRPr="004B1793">
              <w:rPr>
                <w:rFonts w:eastAsia="Constantia" w:cs="Segoe UI"/>
                <w:sz w:val="18"/>
                <w:szCs w:val="18"/>
                <w:lang w:val="sv-SE"/>
              </w:rPr>
              <w:t>Menurunkan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penumpang</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selain</w:t>
            </w:r>
            <w:proofErr w:type="spellEnd"/>
            <w:r w:rsidRPr="004B1793">
              <w:rPr>
                <w:rFonts w:eastAsia="Constantia" w:cs="Segoe UI"/>
                <w:sz w:val="18"/>
                <w:szCs w:val="18"/>
                <w:lang w:val="sv-SE"/>
              </w:rPr>
              <w:t xml:space="preserve"> di </w:t>
            </w:r>
            <w:proofErr w:type="spellStart"/>
            <w:r w:rsidRPr="004B1793">
              <w:rPr>
                <w:rFonts w:eastAsia="Constantia" w:cs="Segoe UI"/>
                <w:sz w:val="18"/>
                <w:szCs w:val="18"/>
                <w:lang w:val="sv-SE"/>
              </w:rPr>
              <w:t>tempat</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pemberhentian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tanpa</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alasan</w:t>
            </w:r>
            <w:proofErr w:type="spellEnd"/>
            <w:r w:rsidRPr="004B1793">
              <w:rPr>
                <w:rFonts w:eastAsia="Constantia" w:cs="Segoe UI"/>
                <w:sz w:val="18"/>
                <w:szCs w:val="18"/>
                <w:lang w:val="sv-SE"/>
              </w:rPr>
              <w:t xml:space="preserve"> yang </w:t>
            </w:r>
            <w:proofErr w:type="spellStart"/>
            <w:r w:rsidRPr="004B1793">
              <w:rPr>
                <w:rFonts w:eastAsia="Constantia" w:cs="Segoe UI"/>
                <w:sz w:val="18"/>
                <w:szCs w:val="18"/>
                <w:lang w:val="sv-SE"/>
              </w:rPr>
              <w:t>patut</w:t>
            </w:r>
            <w:proofErr w:type="spellEnd"/>
            <w:r w:rsidRPr="004B1793">
              <w:rPr>
                <w:rFonts w:eastAsia="Constantia" w:cs="Segoe UI"/>
                <w:sz w:val="18"/>
                <w:szCs w:val="18"/>
                <w:lang w:val="sv-SE"/>
              </w:rPr>
              <w:t xml:space="preserve"> dan </w:t>
            </w:r>
            <w:proofErr w:type="spellStart"/>
            <w:r w:rsidRPr="004B1793">
              <w:rPr>
                <w:rFonts w:eastAsia="Constantia" w:cs="Segoe UI"/>
                <w:sz w:val="18"/>
                <w:szCs w:val="18"/>
                <w:lang w:val="sv-SE"/>
              </w:rPr>
              <w:t>mendesak</w:t>
            </w:r>
            <w:proofErr w:type="spellEnd"/>
          </w:p>
        </w:tc>
        <w:tc>
          <w:tcPr>
            <w:tcW w:w="2200" w:type="dxa"/>
            <w:vMerge w:val="restart"/>
            <w:vAlign w:val="center"/>
          </w:tcPr>
          <w:p w14:paraId="134652A5"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Pr>
                <w:rFonts w:eastAsia="Constantia" w:cs="Segoe UI"/>
                <w:sz w:val="18"/>
                <w:szCs w:val="18"/>
                <w:lang w:val="en-US"/>
              </w:rPr>
              <w:t xml:space="preserve">Pasal 126 </w:t>
            </w:r>
            <w:proofErr w:type="spellStart"/>
            <w:r>
              <w:rPr>
                <w:rFonts w:eastAsia="Constantia" w:cs="Segoe UI"/>
                <w:sz w:val="18"/>
                <w:szCs w:val="18"/>
                <w:lang w:val="en-US"/>
              </w:rPr>
              <w:t>huruf</w:t>
            </w:r>
            <w:proofErr w:type="spellEnd"/>
            <w:r>
              <w:rPr>
                <w:rFonts w:eastAsia="Constantia" w:cs="Segoe UI"/>
                <w:sz w:val="18"/>
                <w:szCs w:val="18"/>
                <w:lang w:val="en-US"/>
              </w:rPr>
              <w:t xml:space="preserve"> c</w:t>
            </w:r>
          </w:p>
        </w:tc>
        <w:tc>
          <w:tcPr>
            <w:tcW w:w="2806" w:type="dxa"/>
            <w:vMerge w:val="restart"/>
            <w:vAlign w:val="center"/>
          </w:tcPr>
          <w:p w14:paraId="0BDD4881" w14:textId="77777777" w:rsidR="006F0069" w:rsidRPr="004B1793" w:rsidRDefault="006F0069" w:rsidP="00FF6A7A">
            <w:pPr>
              <w:tabs>
                <w:tab w:val="left" w:pos="450"/>
              </w:tabs>
              <w:spacing w:before="100" w:beforeAutospacing="1" w:after="100" w:afterAutospacing="1"/>
              <w:contextualSpacing/>
              <w:jc w:val="left"/>
              <w:rPr>
                <w:rFonts w:eastAsia="Constantia" w:cs="Segoe UI"/>
                <w:sz w:val="18"/>
                <w:szCs w:val="18"/>
                <w:lang w:val="sv-SE"/>
              </w:rPr>
            </w:pPr>
            <w:proofErr w:type="spellStart"/>
            <w:r w:rsidRPr="004B1793">
              <w:rPr>
                <w:rFonts w:eastAsia="Constantia" w:cs="Segoe UI"/>
                <w:sz w:val="18"/>
                <w:szCs w:val="18"/>
                <w:lang w:val="sv-SE"/>
              </w:rPr>
              <w:t>Pasal</w:t>
            </w:r>
            <w:proofErr w:type="spellEnd"/>
            <w:r w:rsidRPr="004B1793">
              <w:rPr>
                <w:rFonts w:eastAsia="Constantia" w:cs="Segoe UI"/>
                <w:sz w:val="18"/>
                <w:szCs w:val="18"/>
                <w:lang w:val="sv-SE"/>
              </w:rPr>
              <w:t xml:space="preserve"> 302: </w:t>
            </w:r>
            <w:proofErr w:type="spellStart"/>
            <w:r w:rsidRPr="004B1793">
              <w:rPr>
                <w:rFonts w:eastAsia="Constantia" w:cs="Segoe UI"/>
                <w:sz w:val="18"/>
                <w:szCs w:val="18"/>
                <w:lang w:val="sv-SE"/>
              </w:rPr>
              <w:t>kurungan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paling</w:t>
            </w:r>
            <w:proofErr w:type="spellEnd"/>
            <w:r w:rsidRPr="004B1793">
              <w:rPr>
                <w:rFonts w:eastAsia="Constantia" w:cs="Segoe UI"/>
                <w:sz w:val="18"/>
                <w:szCs w:val="18"/>
                <w:lang w:val="sv-SE"/>
              </w:rPr>
              <w:t xml:space="preserve"> lama 1 bulan </w:t>
            </w:r>
            <w:proofErr w:type="spellStart"/>
            <w:r w:rsidRPr="004B1793">
              <w:rPr>
                <w:rFonts w:eastAsia="Constantia" w:cs="Segoe UI"/>
                <w:sz w:val="18"/>
                <w:szCs w:val="18"/>
                <w:lang w:val="sv-SE"/>
              </w:rPr>
              <w:t>atau</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denda</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paling</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banyak</w:t>
            </w:r>
            <w:proofErr w:type="spellEnd"/>
            <w:r w:rsidRPr="004B1793">
              <w:rPr>
                <w:rFonts w:eastAsia="Constantia" w:cs="Segoe UI"/>
                <w:sz w:val="18"/>
                <w:szCs w:val="18"/>
                <w:lang w:val="sv-SE"/>
              </w:rPr>
              <w:t xml:space="preserve"> Rp250.000,00</w:t>
            </w:r>
          </w:p>
        </w:tc>
      </w:tr>
      <w:tr w:rsidR="006F0069" w:rsidRPr="006F0069" w14:paraId="1EA86DBC" w14:textId="77777777" w:rsidTr="006F0069">
        <w:trPr>
          <w:trHeight w:val="258"/>
          <w:tblCellSpacing w:w="15" w:type="dxa"/>
          <w:jc w:val="center"/>
        </w:trPr>
        <w:tc>
          <w:tcPr>
            <w:tcW w:w="2400" w:type="dxa"/>
            <w:vMerge w:val="restart"/>
            <w:vAlign w:val="center"/>
          </w:tcPr>
          <w:p w14:paraId="1EFA5DF6" w14:textId="77777777" w:rsidR="006F0069" w:rsidRPr="004B1793" w:rsidRDefault="006F0069" w:rsidP="00FF6A7A">
            <w:pPr>
              <w:tabs>
                <w:tab w:val="left" w:pos="450"/>
              </w:tabs>
              <w:spacing w:before="100" w:beforeAutospacing="1" w:after="100" w:afterAutospacing="1"/>
              <w:contextualSpacing/>
              <w:jc w:val="left"/>
              <w:rPr>
                <w:rFonts w:eastAsia="Constantia" w:cs="Segoe UI"/>
                <w:sz w:val="18"/>
                <w:szCs w:val="18"/>
                <w:lang w:val="sv-SE"/>
              </w:rPr>
            </w:pPr>
            <w:proofErr w:type="spellStart"/>
            <w:r w:rsidRPr="004B1793">
              <w:rPr>
                <w:rFonts w:eastAsia="Constantia" w:cs="Segoe UI"/>
                <w:sz w:val="18"/>
                <w:szCs w:val="18"/>
                <w:lang w:val="sv-SE"/>
              </w:rPr>
              <w:t>Melewati</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jaringan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jalan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selain</w:t>
            </w:r>
            <w:proofErr w:type="spellEnd"/>
            <w:r w:rsidRPr="004B1793">
              <w:rPr>
                <w:rFonts w:eastAsia="Constantia" w:cs="Segoe UI"/>
                <w:sz w:val="18"/>
                <w:szCs w:val="18"/>
                <w:lang w:val="sv-SE"/>
              </w:rPr>
              <w:t xml:space="preserve"> yang </w:t>
            </w:r>
            <w:proofErr w:type="spellStart"/>
            <w:r w:rsidRPr="004B1793">
              <w:rPr>
                <w:rFonts w:eastAsia="Constantia" w:cs="Segoe UI"/>
                <w:sz w:val="18"/>
                <w:szCs w:val="18"/>
                <w:lang w:val="sv-SE"/>
              </w:rPr>
              <w:t>ditentukan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dalam</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izin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trayek</w:t>
            </w:r>
            <w:proofErr w:type="spellEnd"/>
          </w:p>
        </w:tc>
        <w:tc>
          <w:tcPr>
            <w:tcW w:w="2200" w:type="dxa"/>
            <w:vMerge w:val="restart"/>
            <w:vAlign w:val="center"/>
          </w:tcPr>
          <w:p w14:paraId="05F356ED"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Pr>
                <w:rFonts w:eastAsia="Constantia" w:cs="Segoe UI"/>
                <w:sz w:val="18"/>
                <w:szCs w:val="18"/>
                <w:lang w:val="en-US"/>
              </w:rPr>
              <w:t xml:space="preserve">Pasal 126 </w:t>
            </w:r>
            <w:proofErr w:type="spellStart"/>
            <w:r>
              <w:rPr>
                <w:rFonts w:eastAsia="Constantia" w:cs="Segoe UI"/>
                <w:sz w:val="18"/>
                <w:szCs w:val="18"/>
                <w:lang w:val="en-US"/>
              </w:rPr>
              <w:t>huruf</w:t>
            </w:r>
            <w:proofErr w:type="spellEnd"/>
            <w:r>
              <w:rPr>
                <w:rFonts w:eastAsia="Constantia" w:cs="Segoe UI"/>
                <w:sz w:val="18"/>
                <w:szCs w:val="18"/>
                <w:lang w:val="en-US"/>
              </w:rPr>
              <w:t xml:space="preserve"> d</w:t>
            </w:r>
          </w:p>
        </w:tc>
        <w:tc>
          <w:tcPr>
            <w:tcW w:w="2806" w:type="dxa"/>
            <w:vMerge w:val="restart"/>
            <w:vAlign w:val="center"/>
          </w:tcPr>
          <w:p w14:paraId="635A6A2F" w14:textId="77777777" w:rsidR="006F0069" w:rsidRPr="004B1793" w:rsidRDefault="006F0069" w:rsidP="00FF6A7A">
            <w:pPr>
              <w:tabs>
                <w:tab w:val="left" w:pos="450"/>
              </w:tabs>
              <w:spacing w:before="100" w:beforeAutospacing="1" w:after="100" w:afterAutospacing="1"/>
              <w:contextualSpacing/>
              <w:jc w:val="left"/>
              <w:rPr>
                <w:rFonts w:eastAsia="Constantia" w:cs="Segoe UI"/>
                <w:sz w:val="18"/>
                <w:szCs w:val="18"/>
                <w:lang w:val="sv-SE"/>
              </w:rPr>
            </w:pPr>
            <w:proofErr w:type="spellStart"/>
            <w:r w:rsidRPr="004B1793">
              <w:rPr>
                <w:rFonts w:eastAsia="Constantia" w:cs="Segoe UI"/>
                <w:sz w:val="18"/>
                <w:szCs w:val="18"/>
                <w:lang w:val="sv-SE"/>
              </w:rPr>
              <w:t>Pasal</w:t>
            </w:r>
            <w:proofErr w:type="spellEnd"/>
            <w:r w:rsidRPr="004B1793">
              <w:rPr>
                <w:rFonts w:eastAsia="Constantia" w:cs="Segoe UI"/>
                <w:sz w:val="18"/>
                <w:szCs w:val="18"/>
                <w:lang w:val="sv-SE"/>
              </w:rPr>
              <w:t xml:space="preserve"> 302: </w:t>
            </w:r>
            <w:proofErr w:type="spellStart"/>
            <w:r w:rsidRPr="004B1793">
              <w:rPr>
                <w:rFonts w:eastAsia="Constantia" w:cs="Segoe UI"/>
                <w:sz w:val="18"/>
                <w:szCs w:val="18"/>
                <w:lang w:val="sv-SE"/>
              </w:rPr>
              <w:t>kurungan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paling</w:t>
            </w:r>
            <w:proofErr w:type="spellEnd"/>
            <w:r w:rsidRPr="004B1793">
              <w:rPr>
                <w:rFonts w:eastAsia="Constantia" w:cs="Segoe UI"/>
                <w:sz w:val="18"/>
                <w:szCs w:val="18"/>
                <w:lang w:val="sv-SE"/>
              </w:rPr>
              <w:t xml:space="preserve"> lama 1 bulan </w:t>
            </w:r>
            <w:proofErr w:type="spellStart"/>
            <w:r w:rsidRPr="004B1793">
              <w:rPr>
                <w:rFonts w:eastAsia="Constantia" w:cs="Segoe UI"/>
                <w:sz w:val="18"/>
                <w:szCs w:val="18"/>
                <w:lang w:val="sv-SE"/>
              </w:rPr>
              <w:t>atau</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denda</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paling</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banyak</w:t>
            </w:r>
            <w:proofErr w:type="spellEnd"/>
            <w:r w:rsidRPr="004B1793">
              <w:rPr>
                <w:rFonts w:eastAsia="Constantia" w:cs="Segoe UI"/>
                <w:sz w:val="18"/>
                <w:szCs w:val="18"/>
                <w:lang w:val="sv-SE"/>
              </w:rPr>
              <w:t xml:space="preserve"> Rp250.000,00</w:t>
            </w:r>
          </w:p>
        </w:tc>
      </w:tr>
      <w:tr w:rsidR="006F0069" w:rsidRPr="006F0069" w14:paraId="06A50852" w14:textId="77777777" w:rsidTr="006F0069">
        <w:trPr>
          <w:trHeight w:val="258"/>
          <w:tblCellSpacing w:w="15" w:type="dxa"/>
          <w:jc w:val="center"/>
        </w:trPr>
        <w:tc>
          <w:tcPr>
            <w:tcW w:w="2400" w:type="dxa"/>
            <w:vMerge w:val="restart"/>
            <w:vAlign w:val="center"/>
          </w:tcPr>
          <w:p w14:paraId="3E8684E9" w14:textId="77777777" w:rsidR="006F0069" w:rsidRPr="004B1793" w:rsidRDefault="006F0069" w:rsidP="00FF6A7A">
            <w:pPr>
              <w:tabs>
                <w:tab w:val="left" w:pos="450"/>
              </w:tabs>
              <w:spacing w:before="100" w:beforeAutospacing="1" w:after="100" w:afterAutospacing="1"/>
              <w:contextualSpacing/>
              <w:jc w:val="left"/>
              <w:rPr>
                <w:rFonts w:eastAsia="Constantia" w:cs="Segoe UI"/>
                <w:sz w:val="18"/>
                <w:szCs w:val="18"/>
                <w:lang w:val="sv-SE"/>
              </w:rPr>
            </w:pPr>
            <w:proofErr w:type="spellStart"/>
            <w:r w:rsidRPr="004B1793">
              <w:rPr>
                <w:rFonts w:eastAsia="Constantia" w:cs="Segoe UI"/>
                <w:sz w:val="18"/>
                <w:szCs w:val="18"/>
                <w:lang w:val="sv-SE"/>
              </w:rPr>
              <w:t>Mengemudikan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kendaraan</w:t>
            </w:r>
            <w:proofErr w:type="spellEnd"/>
            <w:r w:rsidRPr="004B1793">
              <w:rPr>
                <w:rFonts w:eastAsia="Constantia" w:cs="Segoe UI"/>
                <w:sz w:val="18"/>
                <w:szCs w:val="18"/>
                <w:lang w:val="sv-SE"/>
              </w:rPr>
              <w:t xml:space="preserve"> yang </w:t>
            </w:r>
            <w:proofErr w:type="spellStart"/>
            <w:r w:rsidRPr="004B1793">
              <w:rPr>
                <w:rFonts w:eastAsia="Constantia" w:cs="Segoe UI"/>
                <w:sz w:val="18"/>
                <w:szCs w:val="18"/>
                <w:lang w:val="sv-SE"/>
              </w:rPr>
              <w:t>tidak</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memenuhi</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persyaratan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teknis</w:t>
            </w:r>
            <w:proofErr w:type="spellEnd"/>
            <w:r w:rsidRPr="004B1793">
              <w:rPr>
                <w:rFonts w:eastAsia="Constantia" w:cs="Segoe UI"/>
                <w:sz w:val="18"/>
                <w:szCs w:val="18"/>
                <w:lang w:val="sv-SE"/>
              </w:rPr>
              <w:t xml:space="preserve"> dan </w:t>
            </w:r>
            <w:proofErr w:type="spellStart"/>
            <w:r w:rsidRPr="004B1793">
              <w:rPr>
                <w:rFonts w:eastAsia="Constantia" w:cs="Segoe UI"/>
                <w:sz w:val="18"/>
                <w:szCs w:val="18"/>
                <w:lang w:val="sv-SE"/>
              </w:rPr>
              <w:t>laik</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jalan</w:t>
            </w:r>
            <w:proofErr w:type="spellEnd"/>
          </w:p>
        </w:tc>
        <w:tc>
          <w:tcPr>
            <w:tcW w:w="2200" w:type="dxa"/>
            <w:vMerge w:val="restart"/>
            <w:vAlign w:val="center"/>
          </w:tcPr>
          <w:p w14:paraId="49A5C0A7"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Pr>
                <w:rFonts w:eastAsia="Constantia" w:cs="Segoe UI"/>
                <w:sz w:val="18"/>
                <w:szCs w:val="18"/>
                <w:lang w:val="en-US"/>
              </w:rPr>
              <w:t xml:space="preserve">Pasal 106 </w:t>
            </w:r>
            <w:proofErr w:type="spellStart"/>
            <w:r>
              <w:rPr>
                <w:rFonts w:eastAsia="Constantia" w:cs="Segoe UI"/>
                <w:sz w:val="18"/>
                <w:szCs w:val="18"/>
                <w:lang w:val="en-US"/>
              </w:rPr>
              <w:t>ayat</w:t>
            </w:r>
            <w:proofErr w:type="spellEnd"/>
            <w:r>
              <w:rPr>
                <w:rFonts w:eastAsia="Constantia" w:cs="Segoe UI"/>
                <w:sz w:val="18"/>
                <w:szCs w:val="18"/>
                <w:lang w:val="en-US"/>
              </w:rPr>
              <w:t xml:space="preserve"> (3)</w:t>
            </w:r>
          </w:p>
        </w:tc>
        <w:tc>
          <w:tcPr>
            <w:tcW w:w="2806" w:type="dxa"/>
            <w:vMerge w:val="restart"/>
            <w:vAlign w:val="center"/>
          </w:tcPr>
          <w:p w14:paraId="76DC909F" w14:textId="77777777" w:rsidR="006F0069" w:rsidRPr="004B1793" w:rsidRDefault="006F0069" w:rsidP="00FF6A7A">
            <w:pPr>
              <w:tabs>
                <w:tab w:val="left" w:pos="450"/>
              </w:tabs>
              <w:spacing w:before="100" w:beforeAutospacing="1" w:after="100" w:afterAutospacing="1"/>
              <w:contextualSpacing/>
              <w:jc w:val="left"/>
              <w:rPr>
                <w:rFonts w:eastAsia="Constantia" w:cs="Segoe UI"/>
                <w:sz w:val="18"/>
                <w:szCs w:val="18"/>
                <w:lang w:val="sv-SE"/>
              </w:rPr>
            </w:pPr>
            <w:proofErr w:type="spellStart"/>
            <w:r w:rsidRPr="004B1793">
              <w:rPr>
                <w:rFonts w:eastAsia="Constantia" w:cs="Segoe UI"/>
                <w:sz w:val="18"/>
                <w:szCs w:val="18"/>
                <w:lang w:val="sv-SE"/>
              </w:rPr>
              <w:t>Pasal</w:t>
            </w:r>
            <w:proofErr w:type="spellEnd"/>
            <w:r w:rsidRPr="004B1793">
              <w:rPr>
                <w:rFonts w:eastAsia="Constantia" w:cs="Segoe UI"/>
                <w:sz w:val="18"/>
                <w:szCs w:val="18"/>
                <w:lang w:val="sv-SE"/>
              </w:rPr>
              <w:t xml:space="preserve"> 285: </w:t>
            </w:r>
            <w:proofErr w:type="spellStart"/>
            <w:r w:rsidRPr="004B1793">
              <w:rPr>
                <w:rFonts w:eastAsia="Constantia" w:cs="Segoe UI"/>
                <w:sz w:val="18"/>
                <w:szCs w:val="18"/>
                <w:lang w:val="sv-SE"/>
              </w:rPr>
              <w:t>kurungan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paling</w:t>
            </w:r>
            <w:proofErr w:type="spellEnd"/>
            <w:r w:rsidRPr="004B1793">
              <w:rPr>
                <w:rFonts w:eastAsia="Constantia" w:cs="Segoe UI"/>
                <w:sz w:val="18"/>
                <w:szCs w:val="18"/>
                <w:lang w:val="sv-SE"/>
              </w:rPr>
              <w:t xml:space="preserve"> lama 1 bulan </w:t>
            </w:r>
            <w:proofErr w:type="spellStart"/>
            <w:r w:rsidRPr="004B1793">
              <w:rPr>
                <w:rFonts w:eastAsia="Constantia" w:cs="Segoe UI"/>
                <w:sz w:val="18"/>
                <w:szCs w:val="18"/>
                <w:lang w:val="sv-SE"/>
              </w:rPr>
              <w:t>atau</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denda</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paling</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banyak</w:t>
            </w:r>
            <w:proofErr w:type="spellEnd"/>
            <w:r w:rsidRPr="004B1793">
              <w:rPr>
                <w:rFonts w:eastAsia="Constantia" w:cs="Segoe UI"/>
                <w:sz w:val="18"/>
                <w:szCs w:val="18"/>
                <w:lang w:val="sv-SE"/>
              </w:rPr>
              <w:t xml:space="preserve"> Rp250.000,00</w:t>
            </w:r>
          </w:p>
        </w:tc>
      </w:tr>
      <w:tr w:rsidR="006F0069" w:rsidRPr="006F0069" w14:paraId="19C13D99" w14:textId="77777777" w:rsidTr="006F0069">
        <w:trPr>
          <w:trHeight w:val="258"/>
          <w:tblCellSpacing w:w="15" w:type="dxa"/>
          <w:jc w:val="center"/>
        </w:trPr>
        <w:tc>
          <w:tcPr>
            <w:tcW w:w="2400" w:type="dxa"/>
            <w:vMerge w:val="restart"/>
            <w:vAlign w:val="center"/>
          </w:tcPr>
          <w:p w14:paraId="043CDC47" w14:textId="77777777" w:rsidR="006F0069" w:rsidRPr="004B1793" w:rsidRDefault="006F0069" w:rsidP="00FF6A7A">
            <w:pPr>
              <w:tabs>
                <w:tab w:val="left" w:pos="450"/>
              </w:tabs>
              <w:spacing w:before="100" w:beforeAutospacing="1" w:after="100" w:afterAutospacing="1"/>
              <w:contextualSpacing/>
              <w:jc w:val="left"/>
              <w:rPr>
                <w:rFonts w:eastAsia="Constantia" w:cs="Segoe UI"/>
                <w:sz w:val="18"/>
                <w:szCs w:val="18"/>
                <w:lang w:val="sv-SE"/>
              </w:rPr>
            </w:pPr>
            <w:proofErr w:type="spellStart"/>
            <w:r w:rsidRPr="004B1793">
              <w:rPr>
                <w:rFonts w:eastAsia="Constantia" w:cs="Segoe UI"/>
                <w:sz w:val="18"/>
                <w:szCs w:val="18"/>
                <w:lang w:val="sv-SE"/>
              </w:rPr>
              <w:t>Mengemudikan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kendaraan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bermotor</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tanpa</w:t>
            </w:r>
            <w:proofErr w:type="spellEnd"/>
            <w:r w:rsidRPr="004B1793">
              <w:rPr>
                <w:rFonts w:eastAsia="Constantia" w:cs="Segoe UI"/>
                <w:sz w:val="18"/>
                <w:szCs w:val="18"/>
                <w:lang w:val="sv-SE"/>
              </w:rPr>
              <w:t xml:space="preserve"> Surat </w:t>
            </w:r>
            <w:proofErr w:type="spellStart"/>
            <w:r w:rsidRPr="004B1793">
              <w:rPr>
                <w:rFonts w:eastAsia="Constantia" w:cs="Segoe UI"/>
                <w:sz w:val="18"/>
                <w:szCs w:val="18"/>
                <w:lang w:val="sv-SE"/>
              </w:rPr>
              <w:t>Izin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Mengemudi</w:t>
            </w:r>
            <w:proofErr w:type="spellEnd"/>
          </w:p>
        </w:tc>
        <w:tc>
          <w:tcPr>
            <w:tcW w:w="2200" w:type="dxa"/>
            <w:vMerge w:val="restart"/>
            <w:vAlign w:val="center"/>
          </w:tcPr>
          <w:p w14:paraId="2DDB42E5"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Pr>
                <w:rFonts w:eastAsia="Constantia" w:cs="Segoe UI"/>
                <w:sz w:val="18"/>
                <w:szCs w:val="18"/>
                <w:lang w:val="en-US"/>
              </w:rPr>
              <w:t xml:space="preserve">Pasal 77 </w:t>
            </w:r>
            <w:proofErr w:type="spellStart"/>
            <w:r>
              <w:rPr>
                <w:rFonts w:eastAsia="Constantia" w:cs="Segoe UI"/>
                <w:sz w:val="18"/>
                <w:szCs w:val="18"/>
                <w:lang w:val="en-US"/>
              </w:rPr>
              <w:t>ayat</w:t>
            </w:r>
            <w:proofErr w:type="spellEnd"/>
            <w:r>
              <w:rPr>
                <w:rFonts w:eastAsia="Constantia" w:cs="Segoe UI"/>
                <w:sz w:val="18"/>
                <w:szCs w:val="18"/>
                <w:lang w:val="en-US"/>
              </w:rPr>
              <w:t xml:space="preserve"> (1)</w:t>
            </w:r>
          </w:p>
        </w:tc>
        <w:tc>
          <w:tcPr>
            <w:tcW w:w="2806" w:type="dxa"/>
            <w:vMerge w:val="restart"/>
            <w:vAlign w:val="center"/>
          </w:tcPr>
          <w:p w14:paraId="4FA22062" w14:textId="77777777" w:rsidR="006F0069" w:rsidRPr="004B1793" w:rsidRDefault="006F0069" w:rsidP="00FF6A7A">
            <w:pPr>
              <w:tabs>
                <w:tab w:val="left" w:pos="450"/>
              </w:tabs>
              <w:spacing w:before="100" w:beforeAutospacing="1" w:after="100" w:afterAutospacing="1"/>
              <w:contextualSpacing/>
              <w:jc w:val="left"/>
              <w:rPr>
                <w:rFonts w:eastAsia="Constantia" w:cs="Segoe UI"/>
                <w:sz w:val="18"/>
                <w:szCs w:val="18"/>
                <w:lang w:val="sv-SE"/>
              </w:rPr>
            </w:pPr>
            <w:proofErr w:type="spellStart"/>
            <w:r w:rsidRPr="004B1793">
              <w:rPr>
                <w:rFonts w:eastAsia="Constantia" w:cs="Segoe UI"/>
                <w:sz w:val="18"/>
                <w:szCs w:val="18"/>
                <w:lang w:val="sv-SE"/>
              </w:rPr>
              <w:t>Pasal</w:t>
            </w:r>
            <w:proofErr w:type="spellEnd"/>
            <w:r w:rsidRPr="004B1793">
              <w:rPr>
                <w:rFonts w:eastAsia="Constantia" w:cs="Segoe UI"/>
                <w:sz w:val="18"/>
                <w:szCs w:val="18"/>
                <w:lang w:val="sv-SE"/>
              </w:rPr>
              <w:t xml:space="preserve"> 281: </w:t>
            </w:r>
            <w:proofErr w:type="spellStart"/>
            <w:r w:rsidRPr="004B1793">
              <w:rPr>
                <w:rFonts w:eastAsia="Constantia" w:cs="Segoe UI"/>
                <w:sz w:val="18"/>
                <w:szCs w:val="18"/>
                <w:lang w:val="sv-SE"/>
              </w:rPr>
              <w:t>kurungan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paling</w:t>
            </w:r>
            <w:proofErr w:type="spellEnd"/>
            <w:r w:rsidRPr="004B1793">
              <w:rPr>
                <w:rFonts w:eastAsia="Constantia" w:cs="Segoe UI"/>
                <w:sz w:val="18"/>
                <w:szCs w:val="18"/>
                <w:lang w:val="sv-SE"/>
              </w:rPr>
              <w:t xml:space="preserve"> lama 4 bulan </w:t>
            </w:r>
            <w:proofErr w:type="spellStart"/>
            <w:r w:rsidRPr="004B1793">
              <w:rPr>
                <w:rFonts w:eastAsia="Constantia" w:cs="Segoe UI"/>
                <w:sz w:val="18"/>
                <w:szCs w:val="18"/>
                <w:lang w:val="sv-SE"/>
              </w:rPr>
              <w:t>atau</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denda</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paling</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banyak</w:t>
            </w:r>
            <w:proofErr w:type="spellEnd"/>
            <w:r w:rsidRPr="004B1793">
              <w:rPr>
                <w:rFonts w:eastAsia="Constantia" w:cs="Segoe UI"/>
                <w:sz w:val="18"/>
                <w:szCs w:val="18"/>
                <w:lang w:val="sv-SE"/>
              </w:rPr>
              <w:t xml:space="preserve"> Rp1.</w:t>
            </w:r>
            <w:proofErr w:type="gramStart"/>
            <w:r w:rsidRPr="004B1793">
              <w:rPr>
                <w:rFonts w:eastAsia="Constantia" w:cs="Segoe UI"/>
                <w:sz w:val="18"/>
                <w:szCs w:val="18"/>
                <w:lang w:val="sv-SE"/>
              </w:rPr>
              <w:t>000.000,00</w:t>
            </w:r>
            <w:proofErr w:type="gramEnd"/>
          </w:p>
        </w:tc>
      </w:tr>
    </w:tbl>
    <w:p w14:paraId="6608DF7B" w14:textId="160C2C3E" w:rsidR="001E0508" w:rsidRDefault="00985560" w:rsidP="001E0508">
      <w:pPr>
        <w:pStyle w:val="IEEEParagraph"/>
        <w:ind w:left="567" w:right="322" w:firstLine="0"/>
        <w:rPr>
          <w:rFonts w:ascii="Segoe UI" w:hAnsi="Segoe UI" w:cs="Segoe UI"/>
          <w:i/>
          <w:iCs/>
          <w:sz w:val="18"/>
          <w:szCs w:val="18"/>
          <w:lang w:val="sv-SE"/>
        </w:rPr>
      </w:pPr>
      <w:r>
        <w:rPr>
          <w:rFonts w:ascii="Segoe UI" w:hAnsi="Segoe UI" w:cs="Segoe UI"/>
          <w:i/>
          <w:iCs/>
          <w:sz w:val="18"/>
          <w:szCs w:val="18"/>
          <w:lang w:val="sv-SE"/>
        </w:rPr>
        <w:t>Sumber: Diolah dari Undang-Undang Nomor 22 Tahun 2009 tentang Lalu Lintas dan Angkutan Jalan</w:t>
      </w:r>
    </w:p>
    <w:p w14:paraId="60D8B43D" w14:textId="77777777"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7"/>
          <w:footerReference w:type="default" r:id="rId18"/>
          <w:headerReference w:type="first" r:id="rId19"/>
          <w:type w:val="continuous"/>
          <w:pgSz w:w="11906" w:h="16838" w:code="9"/>
          <w:pgMar w:top="1440" w:right="1440" w:bottom="1440" w:left="1440" w:header="709" w:footer="709" w:gutter="0"/>
          <w:cols w:space="708"/>
          <w:titlePg/>
          <w:docGrid w:linePitch="360"/>
        </w:sectPr>
      </w:pPr>
    </w:p>
    <w:p w14:paraId="748784C4"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Tabel 1 memperlihatkan bahwa persoalan di Manokwari bukan kekosongan norma (rechtsvacuum), melainkan kesenjangan antara norma dan pelaksanaannya. Seluruh perbuatan yang ditemukan di lapangan telah memiliki rumusan larangan dan ancaman pidana yang jelas. Pelanggaran lalu lintas sendiri secara doktrinal digolongkan sebagai overtredingen, yaitu perbuatan yang melawan hukum karena tidak menaati larangan atau keharusan yang ditentukan penguasa negara, dan bobotnya lebih ringan daripada kejahatan (Prodjodikoro, 2014; Poernomo, 2008). Sifat ringan itulah yang kerap disalahpahami masyarakat sebagai alasan untuk </w:t>
      </w:r>
      <w:r>
        <w:rPr>
          <w:rStyle w:val="longtext"/>
          <w:rFonts w:ascii="Segoe UI" w:hAnsi="Segoe UI" w:cs="Segoe UI"/>
          <w:sz w:val="22"/>
          <w:szCs w:val="22"/>
          <w:shd w:val="clear" w:color="auto" w:fill="FFFFFF"/>
          <w:lang w:val="sv-SE"/>
        </w:rPr>
        <w:lastRenderedPageBreak/>
        <w:t>menyepelekan norma, padahal akibatnya dapat berupa hilangnya nyawa pengguna jalan lain.</w:t>
      </w:r>
    </w:p>
    <w:p w14:paraId="0DFD46AC"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Ditinjau dengan teori penegakan hukum Soekanto (2016), dominasi faktor manusia dalam temuan ini sesungguhnya merupakan gabungan dua unsur sekaligus, yaitu unsur masyarakat dan unsur kebudayaan hukum. Ketaatan yang hanya muncul di hadapan petugas menandakan bahwa kepatuhan pengemudi angkutan umum di Manokwari masih berada pada tingkat compliance, yakni ketaatan karena takut sanksi, dan belum mencapai tingkat internalization, yakni ketaatan karena nilai keselamatan telah diyakini sendiri. Selama kepatuhan bertumpu pada rasa takut, penambahan intensitas razia hanya akan memindahkan pelanggaran ke ruas jalan atau waktu yang tidak terjangkau pengawasan.</w:t>
      </w:r>
    </w:p>
    <w:p w14:paraId="488CE483"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Faktor kedua adalah kendaraan. Temuan lapangan memperlihatkan masih beroperasinya kendaraan yang tidak memenuhi syarat teknis dan laik jalan, seperti tidak dilengkapi kaca spion, knalpot yang menimbulkan kebisingan, ban yang aus, dan sistem pengereman yang tidak berfungsi sebagaimana mestinya. Kondisi ini berkaitan langsung dengan kelalaian perawatan dan lemahnya pelaksanaan kewajiban pengujian berkala kendaraan bermotor. Dalam kerangka Pasal 285 Undang-Undang Nomor 22 Tahun 2009, mengoperasikan kendaraan demikian bukan sekadar persoalan teknis, melainkan perbuatan yang telah memenuhi unsur pelanggaran, sehingga pembiarannya berarti membiarkan risiko keselamatan berpindah kepada penumpang dan pengguna jalan lain.</w:t>
      </w:r>
    </w:p>
    <w:p w14:paraId="60275FFD"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Faktor ketiga adalah jalan sebagai prasarana. Kerusakan permukaan jalan, tikungan tajam, keterbatasan rambu dan marka, serta ketidakcukupan titik pemberhentian resmi turut membentuk perilaku pengemudi. Ketika halte atau terminal tidak tersedia pada jarak yang wajar dari pusat kegiatan masyarakat, pengemudi angkutan umum terdorong berhenti di sembarang tempat karena di situlah penumpang berada. Kondisi demikian tidak menghapuskan pertanggungjawaban pidana pengemudi, tetapi menunjukkan bahwa negara belum sepenuhnya memenuhi kewajiban penyediaan prasarana yang menjadi syarat wajarnya penegakan hukum. Di sinilah teori negara hukum menjadi relevan: negara hukum menuntut penyelenggaraan pemerintahan berdasarkan hukum dan pemberian jaminan perlindungan kepada warganya (Ridwan, 2002; Qamar, 2013), sehingga tuntutan tertib berlalu lintas harus berjalan seiring dengan pemenuhan prasarana keselamatan oleh pemerintah daerah.</w:t>
      </w:r>
    </w:p>
    <w:p w14:paraId="619A440D"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Faktor keempat yang tidak kalah menentukan, meskipun tidak selalu diakui secara terbuka, adalah inkonsistensi penegakan hukum. Praktik penyelesaian pelanggaran di tempat oleh oknum petugas menyebabkan perkara tidak pernah masuk ke proses hukum, sehingga tidak ada catatan pelanggaran, tidak ada putusan, dan tidak ada efek jera. Dari sudut kepastian hukum, praktik ini merusak fungsi hukum sebagai perlindungan yustisiabel terhadap tindakan sewenang-wenang (Mertokusumo, 1999) dan meniadakan prediktabilitas hukum, yaitu kemampuan warga memperkirakan akibat hukum dari perbuatannya (Marzuki, 2008). Dari sudut keadilan, praktik itu melanggar prinsip perlakuan yang sama terhadap hal yang sama, karena pelanggar yang mampu membayar di tempat diperlakukan berbeda dari pelanggar yang diproses secara resmi (Hernoko, 2008). Dengan demikian, argumentasi penulis adalah bahwa akar persoalan pelanggaran lalu lintas di Manokwari tidak berhenti pada rendahnya kesadaran pengemudi, tetapi juga </w:t>
      </w:r>
      <w:r>
        <w:rPr>
          <w:rStyle w:val="longtext"/>
          <w:rFonts w:ascii="Segoe UI" w:hAnsi="Segoe UI" w:cs="Segoe UI"/>
          <w:sz w:val="22"/>
          <w:szCs w:val="22"/>
          <w:shd w:val="clear" w:color="auto" w:fill="FFFFFF"/>
          <w:lang w:val="sv-SE"/>
        </w:rPr>
        <w:lastRenderedPageBreak/>
        <w:t>mencakup rendahnya keteladanan penegakan, dan keduanya saling menguatkan dalam lingkaran ketidaktertiban.</w:t>
      </w:r>
    </w:p>
    <w:p w14:paraId="76318A13" w14:textId="77777777" w:rsidR="001C62FB" w:rsidRPr="00955050" w:rsidRDefault="001C62FB" w:rsidP="00955050">
      <w:pPr>
        <w:pStyle w:val="Heading2"/>
        <w:ind w:right="322"/>
        <w:rPr>
          <w:rStyle w:val="mediumtext"/>
        </w:rPr>
      </w:pPr>
      <w:r>
        <w:rPr>
          <w:rStyle w:val="mediumtext"/>
        </w:rPr>
        <w:t>3.2 Upaya Penanggulangan Pelanggaran Lalu Lintas di Kota Manokwari</w:t>
      </w:r>
    </w:p>
    <w:p w14:paraId="658AF58F" w14:textId="77777777" w:rsidR="00E02EE7" w:rsidRPr="004B1793" w:rsidRDefault="00E02EE7" w:rsidP="00E02EE7">
      <w:pPr>
        <w:pStyle w:val="IEEEParagraph"/>
        <w:ind w:left="567" w:right="322" w:firstLine="567"/>
        <w:rPr>
          <w:rStyle w:val="longtext"/>
          <w:rFonts w:ascii="Segoe UI" w:hAnsi="Segoe UI" w:cs="Segoe UI"/>
          <w:sz w:val="22"/>
          <w:szCs w:val="22"/>
          <w:shd w:val="clear" w:color="auto" w:fill="FFFFFF"/>
          <w:lang w:val="id-ID"/>
        </w:rPr>
      </w:pPr>
      <w:r w:rsidRPr="004B1793">
        <w:rPr>
          <w:rStyle w:val="longtext"/>
          <w:rFonts w:ascii="Segoe UI" w:hAnsi="Segoe UI" w:cs="Segoe UI"/>
          <w:sz w:val="22"/>
          <w:szCs w:val="22"/>
          <w:shd w:val="clear" w:color="auto" w:fill="FFFFFF"/>
          <w:lang w:val="id-ID"/>
        </w:rPr>
        <w:t>Upaya penanggulangan pelanggaran lalu lintas di Kota Manokwari dilakukan secara berlapis melalui tiga bentuk upaya, yaitu pre-emtif, preventif, dan represif, sebagaimana dirangkum pada Tabel 2. Ketiganya merupakan penjabaran dari misi Polisi Lalu Lintas untuk melindungi, mengayomi, dan melayani masyarakat melalui pendidikan masyarakat berlalu lintas, penegakan hukum, pengkajian masalah lalu lintas, serta registrasi dan identifikasi kendaraan bermotor dan pengemudi.</w:t>
      </w:r>
    </w:p>
    <w:p w14:paraId="230AFBEF" w14:textId="77777777"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20"/>
          <w:footerReference w:type="default" r:id="rId21"/>
          <w:headerReference w:type="first" r:id="rId22"/>
          <w:type w:val="continuous"/>
          <w:pgSz w:w="11906" w:h="16838" w:code="9"/>
          <w:pgMar w:top="1440" w:right="1440" w:bottom="1440" w:left="1440" w:header="709" w:footer="709" w:gutter="0"/>
          <w:cols w:space="708"/>
          <w:titlePg/>
          <w:docGrid w:linePitch="360"/>
        </w:sectPr>
      </w:pPr>
    </w:p>
    <w:p w14:paraId="776FC6C7" w14:textId="77777777" w:rsidR="006F0069" w:rsidRPr="004B1793" w:rsidRDefault="006F0069" w:rsidP="006F0069">
      <w:pPr>
        <w:tabs>
          <w:tab w:val="left" w:pos="450"/>
        </w:tabs>
        <w:spacing w:before="100" w:beforeAutospacing="1" w:after="100" w:afterAutospacing="1"/>
        <w:contextualSpacing/>
        <w:jc w:val="center"/>
        <w:rPr>
          <w:rFonts w:eastAsia="Constantia" w:cs="Segoe UI"/>
          <w:sz w:val="20"/>
          <w:szCs w:val="20"/>
          <w:lang w:val="sv-SE"/>
        </w:rPr>
      </w:pPr>
      <w:proofErr w:type="spellStart"/>
      <w:r w:rsidRPr="004B1793">
        <w:rPr>
          <w:rFonts w:eastAsia="Constantia" w:cs="Segoe UI"/>
          <w:b/>
          <w:bCs/>
          <w:sz w:val="20"/>
          <w:szCs w:val="20"/>
          <w:lang w:val="sv-SE"/>
        </w:rPr>
        <w:t>Tabel</w:t>
      </w:r>
      <w:proofErr w:type="spellEnd"/>
      <w:r w:rsidRPr="004B1793">
        <w:rPr>
          <w:rFonts w:eastAsia="Constantia" w:cs="Segoe UI"/>
          <w:b/>
          <w:bCs/>
          <w:sz w:val="20"/>
          <w:szCs w:val="20"/>
          <w:lang w:val="sv-SE"/>
        </w:rPr>
        <w:t xml:space="preserve"> 2. </w:t>
      </w:r>
      <w:proofErr w:type="spellStart"/>
      <w:r w:rsidRPr="004B1793">
        <w:rPr>
          <w:rFonts w:eastAsia="Constantia" w:cs="Segoe UI"/>
          <w:b/>
          <w:bCs/>
          <w:sz w:val="20"/>
          <w:szCs w:val="20"/>
          <w:lang w:val="sv-SE"/>
        </w:rPr>
        <w:t>Lapisan</w:t>
      </w:r>
      <w:proofErr w:type="spellEnd"/>
      <w:r w:rsidRPr="004B1793">
        <w:rPr>
          <w:rFonts w:eastAsia="Constantia" w:cs="Segoe UI"/>
          <w:b/>
          <w:bCs/>
          <w:sz w:val="20"/>
          <w:szCs w:val="20"/>
          <w:lang w:val="sv-SE"/>
        </w:rPr>
        <w:t xml:space="preserve"> </w:t>
      </w:r>
      <w:proofErr w:type="spellStart"/>
      <w:r w:rsidRPr="004B1793">
        <w:rPr>
          <w:rFonts w:eastAsia="Constantia" w:cs="Segoe UI"/>
          <w:b/>
          <w:bCs/>
          <w:sz w:val="20"/>
          <w:szCs w:val="20"/>
          <w:lang w:val="sv-SE"/>
        </w:rPr>
        <w:t>Upaya</w:t>
      </w:r>
      <w:proofErr w:type="spellEnd"/>
      <w:r w:rsidRPr="004B1793">
        <w:rPr>
          <w:rFonts w:eastAsia="Constantia" w:cs="Segoe UI"/>
          <w:b/>
          <w:bCs/>
          <w:sz w:val="20"/>
          <w:szCs w:val="20"/>
          <w:lang w:val="sv-SE"/>
        </w:rPr>
        <w:t xml:space="preserve"> </w:t>
      </w:r>
      <w:proofErr w:type="spellStart"/>
      <w:r w:rsidRPr="004B1793">
        <w:rPr>
          <w:rFonts w:eastAsia="Constantia" w:cs="Segoe UI"/>
          <w:b/>
          <w:bCs/>
          <w:sz w:val="20"/>
          <w:szCs w:val="20"/>
          <w:lang w:val="sv-SE"/>
        </w:rPr>
        <w:t>Penanggulangan</w:t>
      </w:r>
      <w:proofErr w:type="spellEnd"/>
      <w:r w:rsidRPr="004B1793">
        <w:rPr>
          <w:rFonts w:eastAsia="Constantia" w:cs="Segoe UI"/>
          <w:b/>
          <w:bCs/>
          <w:sz w:val="20"/>
          <w:szCs w:val="20"/>
          <w:lang w:val="sv-SE"/>
        </w:rPr>
        <w:t xml:space="preserve"> </w:t>
      </w:r>
      <w:proofErr w:type="spellStart"/>
      <w:r w:rsidRPr="004B1793">
        <w:rPr>
          <w:rFonts w:eastAsia="Constantia" w:cs="Segoe UI"/>
          <w:b/>
          <w:bCs/>
          <w:sz w:val="20"/>
          <w:szCs w:val="20"/>
          <w:lang w:val="sv-SE"/>
        </w:rPr>
        <w:t>Pelanggaran</w:t>
      </w:r>
      <w:proofErr w:type="spellEnd"/>
      <w:r w:rsidRPr="004B1793">
        <w:rPr>
          <w:rFonts w:eastAsia="Constantia" w:cs="Segoe UI"/>
          <w:b/>
          <w:bCs/>
          <w:sz w:val="20"/>
          <w:szCs w:val="20"/>
          <w:lang w:val="sv-SE"/>
        </w:rPr>
        <w:t xml:space="preserve"> </w:t>
      </w:r>
      <w:proofErr w:type="spellStart"/>
      <w:r w:rsidRPr="004B1793">
        <w:rPr>
          <w:rFonts w:eastAsia="Constantia" w:cs="Segoe UI"/>
          <w:b/>
          <w:bCs/>
          <w:sz w:val="20"/>
          <w:szCs w:val="20"/>
          <w:lang w:val="sv-SE"/>
        </w:rPr>
        <w:t>Lalu</w:t>
      </w:r>
      <w:proofErr w:type="spellEnd"/>
      <w:r w:rsidRPr="004B1793">
        <w:rPr>
          <w:rFonts w:eastAsia="Constantia" w:cs="Segoe UI"/>
          <w:b/>
          <w:bCs/>
          <w:sz w:val="20"/>
          <w:szCs w:val="20"/>
          <w:lang w:val="sv-SE"/>
        </w:rPr>
        <w:t xml:space="preserve"> </w:t>
      </w:r>
      <w:proofErr w:type="spellStart"/>
      <w:r w:rsidRPr="004B1793">
        <w:rPr>
          <w:rFonts w:eastAsia="Constantia" w:cs="Segoe UI"/>
          <w:b/>
          <w:bCs/>
          <w:sz w:val="20"/>
          <w:szCs w:val="20"/>
          <w:lang w:val="sv-SE"/>
        </w:rPr>
        <w:t>Lintas</w:t>
      </w:r>
      <w:proofErr w:type="spellEnd"/>
      <w:r w:rsidRPr="004B1793">
        <w:rPr>
          <w:rFonts w:eastAsia="Constantia" w:cs="Segoe UI"/>
          <w:b/>
          <w:bCs/>
          <w:sz w:val="20"/>
          <w:szCs w:val="20"/>
          <w:lang w:val="sv-SE"/>
        </w:rPr>
        <w:t xml:space="preserve"> di Kota </w:t>
      </w:r>
      <w:proofErr w:type="spellStart"/>
      <w:r w:rsidRPr="004B1793">
        <w:rPr>
          <w:rFonts w:eastAsia="Constantia" w:cs="Segoe UI"/>
          <w:b/>
          <w:bCs/>
          <w:sz w:val="20"/>
          <w:szCs w:val="20"/>
          <w:lang w:val="sv-SE"/>
        </w:rPr>
        <w:t>Manokwari</w:t>
      </w:r>
      <w:proofErr w:type="spellEnd"/>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445"/>
        <w:gridCol w:w="2230"/>
        <w:gridCol w:w="2851"/>
      </w:tblGrid>
      <w:tr w:rsidR="006F0069" w:rsidRPr="006F0069" w14:paraId="73B13B47" w14:textId="77777777" w:rsidTr="006F0069">
        <w:trPr>
          <w:tblHeader/>
          <w:tblCellSpacing w:w="15" w:type="dxa"/>
          <w:jc w:val="center"/>
        </w:trPr>
        <w:tc>
          <w:tcPr>
            <w:tcW w:w="2400" w:type="dxa"/>
            <w:tcBorders>
              <w:top w:val="single" w:sz="4" w:space="0" w:color="auto"/>
              <w:bottom w:val="single" w:sz="4" w:space="0" w:color="auto"/>
            </w:tcBorders>
            <w:vAlign w:val="center"/>
          </w:tcPr>
          <w:p w14:paraId="1629C106"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proofErr w:type="spellStart"/>
            <w:r>
              <w:rPr>
                <w:rFonts w:eastAsia="Constantia" w:cs="Segoe UI"/>
                <w:b/>
                <w:bCs/>
                <w:sz w:val="18"/>
                <w:szCs w:val="18"/>
                <w:lang w:val="en-US"/>
              </w:rPr>
              <w:t>Lapisan</w:t>
            </w:r>
            <w:proofErr w:type="spellEnd"/>
            <w:r>
              <w:rPr>
                <w:rFonts w:eastAsia="Constantia" w:cs="Segoe UI"/>
                <w:b/>
                <w:bCs/>
                <w:sz w:val="18"/>
                <w:szCs w:val="18"/>
                <w:lang w:val="en-US"/>
              </w:rPr>
              <w:t xml:space="preserve"> Upaya</w:t>
            </w:r>
          </w:p>
        </w:tc>
        <w:tc>
          <w:tcPr>
            <w:tcW w:w="2200" w:type="dxa"/>
            <w:tcBorders>
              <w:top w:val="single" w:sz="4" w:space="0" w:color="auto"/>
              <w:bottom w:val="single" w:sz="4" w:space="0" w:color="auto"/>
            </w:tcBorders>
            <w:vAlign w:val="center"/>
          </w:tcPr>
          <w:p w14:paraId="5ADEB90D"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Pr>
                <w:rFonts w:eastAsia="Constantia" w:cs="Segoe UI"/>
                <w:b/>
                <w:bCs/>
                <w:sz w:val="18"/>
                <w:szCs w:val="18"/>
                <w:lang w:val="en-US"/>
              </w:rPr>
              <w:t>Bentuk Kegiatan</w:t>
            </w:r>
          </w:p>
        </w:tc>
        <w:tc>
          <w:tcPr>
            <w:tcW w:w="2806" w:type="dxa"/>
            <w:tcBorders>
              <w:top w:val="single" w:sz="4" w:space="0" w:color="auto"/>
              <w:bottom w:val="single" w:sz="4" w:space="0" w:color="auto"/>
            </w:tcBorders>
            <w:vAlign w:val="center"/>
          </w:tcPr>
          <w:p w14:paraId="2D6E1891"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Pr>
                <w:rFonts w:eastAsia="Constantia" w:cs="Segoe UI"/>
                <w:b/>
                <w:bCs/>
                <w:sz w:val="18"/>
                <w:szCs w:val="18"/>
                <w:lang w:val="en-US"/>
              </w:rPr>
              <w:t>Sasaran Pembentukan Perilaku</w:t>
            </w:r>
          </w:p>
        </w:tc>
      </w:tr>
      <w:tr w:rsidR="006F0069" w:rsidRPr="006F0069" w14:paraId="27DE4378" w14:textId="77777777" w:rsidTr="006F0069">
        <w:trPr>
          <w:trHeight w:val="258"/>
          <w:tblCellSpacing w:w="15" w:type="dxa"/>
          <w:jc w:val="center"/>
        </w:trPr>
        <w:tc>
          <w:tcPr>
            <w:tcW w:w="2400" w:type="dxa"/>
            <w:vMerge w:val="restart"/>
            <w:vAlign w:val="center"/>
          </w:tcPr>
          <w:p w14:paraId="713C135E"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Pr>
                <w:rFonts w:eastAsia="Constantia" w:cs="Segoe UI"/>
                <w:sz w:val="18"/>
                <w:szCs w:val="18"/>
                <w:lang w:val="en-US"/>
              </w:rPr>
              <w:t>Pre-emtif</w:t>
            </w:r>
          </w:p>
        </w:tc>
        <w:tc>
          <w:tcPr>
            <w:tcW w:w="2200" w:type="dxa"/>
            <w:vMerge w:val="restart"/>
            <w:vAlign w:val="center"/>
          </w:tcPr>
          <w:p w14:paraId="28BFF1AA" w14:textId="77777777" w:rsidR="006F0069" w:rsidRPr="004B1793" w:rsidRDefault="006F0069" w:rsidP="00FF6A7A">
            <w:pPr>
              <w:tabs>
                <w:tab w:val="left" w:pos="450"/>
              </w:tabs>
              <w:spacing w:before="100" w:beforeAutospacing="1" w:after="100" w:afterAutospacing="1"/>
              <w:contextualSpacing/>
              <w:jc w:val="left"/>
              <w:rPr>
                <w:rFonts w:eastAsia="Constantia" w:cs="Segoe UI"/>
                <w:sz w:val="18"/>
                <w:szCs w:val="18"/>
                <w:lang w:val="sv-SE"/>
              </w:rPr>
            </w:pPr>
            <w:proofErr w:type="spellStart"/>
            <w:r w:rsidRPr="004B1793">
              <w:rPr>
                <w:rFonts w:eastAsia="Constantia" w:cs="Segoe UI"/>
                <w:sz w:val="18"/>
                <w:szCs w:val="18"/>
                <w:lang w:val="sv-SE"/>
              </w:rPr>
              <w:t>Penyuluhan</w:t>
            </w:r>
            <w:proofErr w:type="spellEnd"/>
            <w:r w:rsidRPr="004B1793">
              <w:rPr>
                <w:rFonts w:eastAsia="Constantia" w:cs="Segoe UI"/>
                <w:sz w:val="18"/>
                <w:szCs w:val="18"/>
                <w:lang w:val="sv-SE"/>
              </w:rPr>
              <w:t xml:space="preserve"> dan </w:t>
            </w:r>
            <w:proofErr w:type="spellStart"/>
            <w:r w:rsidRPr="004B1793">
              <w:rPr>
                <w:rFonts w:eastAsia="Constantia" w:cs="Segoe UI"/>
                <w:sz w:val="18"/>
                <w:szCs w:val="18"/>
                <w:lang w:val="sv-SE"/>
              </w:rPr>
              <w:t>edukasi</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berlalu</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lintas</w:t>
            </w:r>
            <w:proofErr w:type="spellEnd"/>
            <w:r w:rsidRPr="004B1793">
              <w:rPr>
                <w:rFonts w:eastAsia="Constantia" w:cs="Segoe UI"/>
                <w:sz w:val="18"/>
                <w:szCs w:val="18"/>
                <w:lang w:val="sv-SE"/>
              </w:rPr>
              <w:t xml:space="preserve">, kampanye </w:t>
            </w:r>
            <w:proofErr w:type="spellStart"/>
            <w:r w:rsidRPr="004B1793">
              <w:rPr>
                <w:rFonts w:eastAsia="Constantia" w:cs="Segoe UI"/>
                <w:sz w:val="18"/>
                <w:szCs w:val="18"/>
                <w:lang w:val="sv-SE"/>
              </w:rPr>
              <w:t>keselamatan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pendidikan</w:t>
            </w:r>
            <w:proofErr w:type="spellEnd"/>
            <w:r w:rsidRPr="004B1793">
              <w:rPr>
                <w:rFonts w:eastAsia="Constantia" w:cs="Segoe UI"/>
                <w:sz w:val="18"/>
                <w:szCs w:val="18"/>
                <w:lang w:val="sv-SE"/>
              </w:rPr>
              <w:t xml:space="preserve"> </w:t>
            </w:r>
            <w:proofErr w:type="gramStart"/>
            <w:r w:rsidRPr="004B1793">
              <w:rPr>
                <w:rFonts w:eastAsia="Constantia" w:cs="Segoe UI"/>
                <w:sz w:val="18"/>
                <w:szCs w:val="18"/>
                <w:lang w:val="sv-SE"/>
              </w:rPr>
              <w:t>formal dan</w:t>
            </w:r>
            <w:proofErr w:type="gramEnd"/>
            <w:r w:rsidRPr="004B1793">
              <w:rPr>
                <w:rFonts w:eastAsia="Constantia" w:cs="Segoe UI"/>
                <w:sz w:val="18"/>
                <w:szCs w:val="18"/>
                <w:lang w:val="sv-SE"/>
              </w:rPr>
              <w:t xml:space="preserve"> </w:t>
            </w:r>
            <w:proofErr w:type="spellStart"/>
            <w:r w:rsidRPr="004B1793">
              <w:rPr>
                <w:rFonts w:eastAsia="Constantia" w:cs="Segoe UI"/>
                <w:sz w:val="18"/>
                <w:szCs w:val="18"/>
                <w:lang w:val="sv-SE"/>
              </w:rPr>
              <w:t>pembinaan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komunitas</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pengemudi</w:t>
            </w:r>
            <w:proofErr w:type="spellEnd"/>
          </w:p>
        </w:tc>
        <w:tc>
          <w:tcPr>
            <w:tcW w:w="2806" w:type="dxa"/>
            <w:vMerge w:val="restart"/>
            <w:vAlign w:val="center"/>
          </w:tcPr>
          <w:p w14:paraId="66A6CB9D" w14:textId="77777777" w:rsidR="006F0069" w:rsidRPr="004B1793" w:rsidRDefault="006F0069" w:rsidP="00FF6A7A">
            <w:pPr>
              <w:tabs>
                <w:tab w:val="left" w:pos="450"/>
              </w:tabs>
              <w:spacing w:before="100" w:beforeAutospacing="1" w:after="100" w:afterAutospacing="1"/>
              <w:contextualSpacing/>
              <w:jc w:val="left"/>
              <w:rPr>
                <w:rFonts w:eastAsia="Constantia" w:cs="Segoe UI"/>
                <w:sz w:val="18"/>
                <w:szCs w:val="18"/>
                <w:lang w:val="sv-SE"/>
              </w:rPr>
            </w:pPr>
            <w:proofErr w:type="spellStart"/>
            <w:r w:rsidRPr="004B1793">
              <w:rPr>
                <w:rFonts w:eastAsia="Constantia" w:cs="Segoe UI"/>
                <w:sz w:val="18"/>
                <w:szCs w:val="18"/>
                <w:lang w:val="sv-SE"/>
              </w:rPr>
              <w:t>Menumbuhkan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kesadaran</w:t>
            </w:r>
            <w:proofErr w:type="spellEnd"/>
            <w:r w:rsidRPr="004B1793">
              <w:rPr>
                <w:rFonts w:eastAsia="Constantia" w:cs="Segoe UI"/>
                <w:sz w:val="18"/>
                <w:szCs w:val="18"/>
                <w:lang w:val="sv-SE"/>
              </w:rPr>
              <w:t xml:space="preserve"> dan </w:t>
            </w:r>
            <w:proofErr w:type="spellStart"/>
            <w:r w:rsidRPr="004B1793">
              <w:rPr>
                <w:rFonts w:eastAsia="Constantia" w:cs="Segoe UI"/>
                <w:sz w:val="18"/>
                <w:szCs w:val="18"/>
                <w:lang w:val="sv-SE"/>
              </w:rPr>
              <w:t>budaya</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hukum</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sebelum</w:t>
            </w:r>
            <w:proofErr w:type="spellEnd"/>
            <w:r w:rsidRPr="004B1793">
              <w:rPr>
                <w:rFonts w:eastAsia="Constantia" w:cs="Segoe UI"/>
                <w:sz w:val="18"/>
                <w:szCs w:val="18"/>
                <w:lang w:val="sv-SE"/>
              </w:rPr>
              <w:t xml:space="preserve"> niat </w:t>
            </w:r>
            <w:proofErr w:type="spellStart"/>
            <w:r w:rsidRPr="004B1793">
              <w:rPr>
                <w:rFonts w:eastAsia="Constantia" w:cs="Segoe UI"/>
                <w:sz w:val="18"/>
                <w:szCs w:val="18"/>
                <w:lang w:val="sv-SE"/>
              </w:rPr>
              <w:t>melanggar</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terbentuk</w:t>
            </w:r>
            <w:proofErr w:type="spellEnd"/>
          </w:p>
        </w:tc>
      </w:tr>
      <w:tr w:rsidR="006F0069" w:rsidRPr="006F0069" w14:paraId="43EF10D9" w14:textId="77777777" w:rsidTr="006F0069">
        <w:trPr>
          <w:trHeight w:val="258"/>
          <w:tblCellSpacing w:w="15" w:type="dxa"/>
          <w:jc w:val="center"/>
        </w:trPr>
        <w:tc>
          <w:tcPr>
            <w:tcW w:w="2400" w:type="dxa"/>
            <w:vMerge w:val="restart"/>
            <w:vAlign w:val="center"/>
          </w:tcPr>
          <w:p w14:paraId="14CF089F"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Pr>
                <w:rFonts w:eastAsia="Constantia" w:cs="Segoe UI"/>
                <w:sz w:val="18"/>
                <w:szCs w:val="18"/>
                <w:lang w:val="en-US"/>
              </w:rPr>
              <w:t>Preventif</w:t>
            </w:r>
          </w:p>
        </w:tc>
        <w:tc>
          <w:tcPr>
            <w:tcW w:w="2200" w:type="dxa"/>
            <w:vMerge w:val="restart"/>
            <w:vAlign w:val="center"/>
          </w:tcPr>
          <w:p w14:paraId="658A6DD0" w14:textId="77777777" w:rsidR="006F0069" w:rsidRPr="004B1793" w:rsidRDefault="006F0069" w:rsidP="00FF6A7A">
            <w:pPr>
              <w:tabs>
                <w:tab w:val="left" w:pos="450"/>
              </w:tabs>
              <w:spacing w:before="100" w:beforeAutospacing="1" w:after="100" w:afterAutospacing="1"/>
              <w:contextualSpacing/>
              <w:jc w:val="left"/>
              <w:rPr>
                <w:rFonts w:eastAsia="Constantia" w:cs="Segoe UI"/>
                <w:sz w:val="18"/>
                <w:szCs w:val="18"/>
                <w:lang w:val="sv-SE"/>
              </w:rPr>
            </w:pPr>
            <w:proofErr w:type="spellStart"/>
            <w:r w:rsidRPr="004B1793">
              <w:rPr>
                <w:rFonts w:eastAsia="Constantia" w:cs="Segoe UI"/>
                <w:sz w:val="18"/>
                <w:szCs w:val="18"/>
                <w:lang w:val="sv-SE"/>
              </w:rPr>
              <w:t>Pengaturan</w:t>
            </w:r>
            <w:proofErr w:type="spellEnd"/>
            <w:r w:rsidRPr="004B1793">
              <w:rPr>
                <w:rFonts w:eastAsia="Constantia" w:cs="Segoe UI"/>
                <w:sz w:val="18"/>
                <w:szCs w:val="18"/>
                <w:lang w:val="sv-SE"/>
              </w:rPr>
              <w:t xml:space="preserve"> dan </w:t>
            </w:r>
            <w:proofErr w:type="spellStart"/>
            <w:r w:rsidRPr="004B1793">
              <w:rPr>
                <w:rFonts w:eastAsia="Constantia" w:cs="Segoe UI"/>
                <w:sz w:val="18"/>
                <w:szCs w:val="18"/>
                <w:lang w:val="sv-SE"/>
              </w:rPr>
              <w:t>penjagaan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pada</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titik</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rawan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patroli</w:t>
            </w:r>
            <w:proofErr w:type="spellEnd"/>
            <w:r w:rsidRPr="004B1793">
              <w:rPr>
                <w:rFonts w:eastAsia="Constantia" w:cs="Segoe UI"/>
                <w:sz w:val="18"/>
                <w:szCs w:val="18"/>
                <w:lang w:val="sv-SE"/>
              </w:rPr>
              <w:t xml:space="preserve"> rutin, </w:t>
            </w:r>
            <w:proofErr w:type="spellStart"/>
            <w:r w:rsidRPr="004B1793">
              <w:rPr>
                <w:rFonts w:eastAsia="Constantia" w:cs="Segoe UI"/>
                <w:sz w:val="18"/>
                <w:szCs w:val="18"/>
                <w:lang w:val="sv-SE"/>
              </w:rPr>
              <w:t>penerapan</w:t>
            </w:r>
            <w:proofErr w:type="spellEnd"/>
            <w:r w:rsidRPr="004B1793">
              <w:rPr>
                <w:rFonts w:eastAsia="Constantia" w:cs="Segoe UI"/>
                <w:sz w:val="18"/>
                <w:szCs w:val="18"/>
                <w:lang w:val="sv-SE"/>
              </w:rPr>
              <w:t xml:space="preserve"> teknologi </w:t>
            </w:r>
            <w:proofErr w:type="spellStart"/>
            <w:r w:rsidRPr="004B1793">
              <w:rPr>
                <w:rFonts w:eastAsia="Constantia" w:cs="Segoe UI"/>
                <w:sz w:val="18"/>
                <w:szCs w:val="18"/>
                <w:lang w:val="sv-SE"/>
              </w:rPr>
              <w:t>tilang</w:t>
            </w:r>
            <w:proofErr w:type="spellEnd"/>
            <w:r w:rsidRPr="004B1793">
              <w:rPr>
                <w:rFonts w:eastAsia="Constantia" w:cs="Segoe UI"/>
                <w:sz w:val="18"/>
                <w:szCs w:val="18"/>
                <w:lang w:val="sv-SE"/>
              </w:rPr>
              <w:t xml:space="preserve"> elektronik (ETLE)</w:t>
            </w:r>
          </w:p>
        </w:tc>
        <w:tc>
          <w:tcPr>
            <w:tcW w:w="2806" w:type="dxa"/>
            <w:vMerge w:val="restart"/>
            <w:vAlign w:val="center"/>
          </w:tcPr>
          <w:p w14:paraId="0AA3AB4B" w14:textId="77777777" w:rsidR="006F0069" w:rsidRPr="004B1793" w:rsidRDefault="006F0069" w:rsidP="00FF6A7A">
            <w:pPr>
              <w:tabs>
                <w:tab w:val="left" w:pos="450"/>
              </w:tabs>
              <w:spacing w:before="100" w:beforeAutospacing="1" w:after="100" w:afterAutospacing="1"/>
              <w:contextualSpacing/>
              <w:jc w:val="left"/>
              <w:rPr>
                <w:rFonts w:eastAsia="Constantia" w:cs="Segoe UI"/>
                <w:sz w:val="18"/>
                <w:szCs w:val="18"/>
                <w:lang w:val="sv-SE"/>
              </w:rPr>
            </w:pPr>
            <w:proofErr w:type="spellStart"/>
            <w:r w:rsidRPr="004B1793">
              <w:rPr>
                <w:rFonts w:eastAsia="Constantia" w:cs="Segoe UI"/>
                <w:sz w:val="18"/>
                <w:szCs w:val="18"/>
                <w:lang w:val="sv-SE"/>
              </w:rPr>
              <w:t>Menutup</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kesempatan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melanggar</w:t>
            </w:r>
            <w:proofErr w:type="spellEnd"/>
            <w:r w:rsidRPr="004B1793">
              <w:rPr>
                <w:rFonts w:eastAsia="Constantia" w:cs="Segoe UI"/>
                <w:sz w:val="18"/>
                <w:szCs w:val="18"/>
                <w:lang w:val="sv-SE"/>
              </w:rPr>
              <w:t xml:space="preserve"> dan </w:t>
            </w:r>
            <w:proofErr w:type="spellStart"/>
            <w:r w:rsidRPr="004B1793">
              <w:rPr>
                <w:rFonts w:eastAsia="Constantia" w:cs="Segoe UI"/>
                <w:sz w:val="18"/>
                <w:szCs w:val="18"/>
                <w:lang w:val="sv-SE"/>
              </w:rPr>
              <w:t>menghadirkan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pengawasan</w:t>
            </w:r>
            <w:proofErr w:type="spellEnd"/>
            <w:r w:rsidRPr="004B1793">
              <w:rPr>
                <w:rFonts w:eastAsia="Constantia" w:cs="Segoe UI"/>
                <w:sz w:val="18"/>
                <w:szCs w:val="18"/>
                <w:lang w:val="sv-SE"/>
              </w:rPr>
              <w:t xml:space="preserve"> yang </w:t>
            </w:r>
            <w:proofErr w:type="spellStart"/>
            <w:r w:rsidRPr="004B1793">
              <w:rPr>
                <w:rFonts w:eastAsia="Constantia" w:cs="Segoe UI"/>
                <w:sz w:val="18"/>
                <w:szCs w:val="18"/>
                <w:lang w:val="sv-SE"/>
              </w:rPr>
              <w:t>tidak</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bergantung</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pada</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kehadiran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petugas</w:t>
            </w:r>
            <w:proofErr w:type="spellEnd"/>
          </w:p>
        </w:tc>
      </w:tr>
      <w:tr w:rsidR="006F0069" w:rsidRPr="006F0069" w14:paraId="54E03258" w14:textId="77777777" w:rsidTr="006F0069">
        <w:trPr>
          <w:trHeight w:val="258"/>
          <w:tblCellSpacing w:w="15" w:type="dxa"/>
          <w:jc w:val="center"/>
        </w:trPr>
        <w:tc>
          <w:tcPr>
            <w:tcW w:w="2400" w:type="dxa"/>
            <w:vMerge w:val="restart"/>
            <w:vAlign w:val="center"/>
          </w:tcPr>
          <w:p w14:paraId="45661BF0"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Pr>
                <w:rFonts w:eastAsia="Constantia" w:cs="Segoe UI"/>
                <w:sz w:val="18"/>
                <w:szCs w:val="18"/>
                <w:lang w:val="en-US"/>
              </w:rPr>
              <w:t>Represif</w:t>
            </w:r>
          </w:p>
        </w:tc>
        <w:tc>
          <w:tcPr>
            <w:tcW w:w="2200" w:type="dxa"/>
            <w:vMerge w:val="restart"/>
            <w:vAlign w:val="center"/>
          </w:tcPr>
          <w:p w14:paraId="794AAE7C" w14:textId="77777777" w:rsidR="006F0069" w:rsidRPr="004B1793" w:rsidRDefault="006F0069" w:rsidP="00FF6A7A">
            <w:pPr>
              <w:tabs>
                <w:tab w:val="left" w:pos="450"/>
              </w:tabs>
              <w:spacing w:before="100" w:beforeAutospacing="1" w:after="100" w:afterAutospacing="1"/>
              <w:contextualSpacing/>
              <w:jc w:val="left"/>
              <w:rPr>
                <w:rFonts w:eastAsia="Constantia" w:cs="Segoe UI"/>
                <w:sz w:val="18"/>
                <w:szCs w:val="18"/>
                <w:lang w:val="sv-SE"/>
              </w:rPr>
            </w:pPr>
            <w:proofErr w:type="spellStart"/>
            <w:r w:rsidRPr="004B1793">
              <w:rPr>
                <w:rFonts w:eastAsia="Constantia" w:cs="Segoe UI"/>
                <w:sz w:val="18"/>
                <w:szCs w:val="18"/>
                <w:lang w:val="sv-SE"/>
              </w:rPr>
              <w:t>Penindakan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melalui</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tilang</w:t>
            </w:r>
            <w:proofErr w:type="spellEnd"/>
            <w:r w:rsidRPr="004B1793">
              <w:rPr>
                <w:rFonts w:eastAsia="Constantia" w:cs="Segoe UI"/>
                <w:sz w:val="18"/>
                <w:szCs w:val="18"/>
                <w:lang w:val="sv-SE"/>
              </w:rPr>
              <w:t xml:space="preserve"> </w:t>
            </w:r>
            <w:proofErr w:type="gramStart"/>
            <w:r w:rsidRPr="004B1793">
              <w:rPr>
                <w:rFonts w:eastAsia="Constantia" w:cs="Segoe UI"/>
                <w:sz w:val="18"/>
                <w:szCs w:val="18"/>
                <w:lang w:val="sv-SE"/>
              </w:rPr>
              <w:t>elektronik dan</w:t>
            </w:r>
            <w:proofErr w:type="gramEnd"/>
            <w:r w:rsidRPr="004B1793">
              <w:rPr>
                <w:rFonts w:eastAsia="Constantia" w:cs="Segoe UI"/>
                <w:sz w:val="18"/>
                <w:szCs w:val="18"/>
                <w:lang w:val="sv-SE"/>
              </w:rPr>
              <w:t xml:space="preserve"> manual, </w:t>
            </w:r>
            <w:proofErr w:type="spellStart"/>
            <w:r w:rsidRPr="004B1793">
              <w:rPr>
                <w:rFonts w:eastAsia="Constantia" w:cs="Segoe UI"/>
                <w:sz w:val="18"/>
                <w:szCs w:val="18"/>
                <w:lang w:val="sv-SE"/>
              </w:rPr>
              <w:t>penjatuhan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sanksi</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administratif</w:t>
            </w:r>
            <w:proofErr w:type="spellEnd"/>
            <w:r w:rsidRPr="004B1793">
              <w:rPr>
                <w:rFonts w:eastAsia="Constantia" w:cs="Segoe UI"/>
                <w:sz w:val="18"/>
                <w:szCs w:val="18"/>
                <w:lang w:val="sv-SE"/>
              </w:rPr>
              <w:t xml:space="preserve"> dan </w:t>
            </w:r>
            <w:proofErr w:type="spellStart"/>
            <w:r w:rsidRPr="004B1793">
              <w:rPr>
                <w:rFonts w:eastAsia="Constantia" w:cs="Segoe UI"/>
                <w:sz w:val="18"/>
                <w:szCs w:val="18"/>
                <w:lang w:val="sv-SE"/>
              </w:rPr>
              <w:t>pidana</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operasi</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kepolisian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seperti</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Operasi</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Patuh</w:t>
            </w:r>
            <w:proofErr w:type="spellEnd"/>
          </w:p>
        </w:tc>
        <w:tc>
          <w:tcPr>
            <w:tcW w:w="2806" w:type="dxa"/>
            <w:vMerge w:val="restart"/>
            <w:vAlign w:val="center"/>
          </w:tcPr>
          <w:p w14:paraId="4114C541" w14:textId="77777777" w:rsidR="006F0069" w:rsidRPr="004B1793" w:rsidRDefault="006F0069" w:rsidP="00FF6A7A">
            <w:pPr>
              <w:tabs>
                <w:tab w:val="left" w:pos="450"/>
              </w:tabs>
              <w:spacing w:before="100" w:beforeAutospacing="1" w:after="100" w:afterAutospacing="1"/>
              <w:contextualSpacing/>
              <w:jc w:val="left"/>
              <w:rPr>
                <w:rFonts w:eastAsia="Constantia" w:cs="Segoe UI"/>
                <w:sz w:val="18"/>
                <w:szCs w:val="18"/>
                <w:lang w:val="sv-SE"/>
              </w:rPr>
            </w:pPr>
            <w:proofErr w:type="spellStart"/>
            <w:r w:rsidRPr="004B1793">
              <w:rPr>
                <w:rFonts w:eastAsia="Constantia" w:cs="Segoe UI"/>
                <w:sz w:val="18"/>
                <w:szCs w:val="18"/>
                <w:lang w:val="sv-SE"/>
              </w:rPr>
              <w:t>Menegakkan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kepastian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hukum</w:t>
            </w:r>
            <w:proofErr w:type="spellEnd"/>
            <w:r w:rsidRPr="004B1793">
              <w:rPr>
                <w:rFonts w:eastAsia="Constantia" w:cs="Segoe UI"/>
                <w:sz w:val="18"/>
                <w:szCs w:val="18"/>
                <w:lang w:val="sv-SE"/>
              </w:rPr>
              <w:t xml:space="preserve"> dan </w:t>
            </w:r>
            <w:proofErr w:type="spellStart"/>
            <w:r w:rsidRPr="004B1793">
              <w:rPr>
                <w:rFonts w:eastAsia="Constantia" w:cs="Segoe UI"/>
                <w:sz w:val="18"/>
                <w:szCs w:val="18"/>
                <w:lang w:val="sv-SE"/>
              </w:rPr>
              <w:t>menimbulkan</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efek</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jera</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bagi</w:t>
            </w:r>
            <w:proofErr w:type="spellEnd"/>
            <w:r w:rsidRPr="004B1793">
              <w:rPr>
                <w:rFonts w:eastAsia="Constantia" w:cs="Segoe UI"/>
                <w:sz w:val="18"/>
                <w:szCs w:val="18"/>
                <w:lang w:val="sv-SE"/>
              </w:rPr>
              <w:t xml:space="preserve"> </w:t>
            </w:r>
            <w:proofErr w:type="spellStart"/>
            <w:r w:rsidRPr="004B1793">
              <w:rPr>
                <w:rFonts w:eastAsia="Constantia" w:cs="Segoe UI"/>
                <w:sz w:val="18"/>
                <w:szCs w:val="18"/>
                <w:lang w:val="sv-SE"/>
              </w:rPr>
              <w:t>pelanggar</w:t>
            </w:r>
            <w:proofErr w:type="spellEnd"/>
          </w:p>
        </w:tc>
      </w:tr>
    </w:tbl>
    <w:p w14:paraId="37F82ABE" w14:textId="77777777" w:rsidR="001E0508" w:rsidRPr="004B1793" w:rsidRDefault="00985560" w:rsidP="001E0508">
      <w:pPr>
        <w:pStyle w:val="IEEEParagraph"/>
        <w:ind w:left="567" w:right="322" w:firstLine="0"/>
        <w:rPr>
          <w:rFonts w:ascii="Segoe UI" w:hAnsi="Segoe UI" w:cs="Segoe UI"/>
          <w:i/>
          <w:iCs/>
          <w:sz w:val="18"/>
          <w:szCs w:val="18"/>
          <w:lang w:val="id-ID"/>
        </w:rPr>
      </w:pPr>
      <w:r w:rsidRPr="004B1793">
        <w:rPr>
          <w:rFonts w:ascii="Segoe UI" w:hAnsi="Segoe UI" w:cs="Segoe UI"/>
          <w:i/>
          <w:iCs/>
          <w:sz w:val="18"/>
          <w:szCs w:val="18"/>
          <w:lang w:val="id-ID"/>
        </w:rPr>
        <w:t>Sumber: Data hasil penelitian, diolah</w:t>
      </w:r>
    </w:p>
    <w:p w14:paraId="63E3130C" w14:textId="77777777"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23"/>
          <w:footerReference w:type="default" r:id="rId24"/>
          <w:headerReference w:type="first" r:id="rId25"/>
          <w:type w:val="continuous"/>
          <w:pgSz w:w="11906" w:h="16838" w:code="9"/>
          <w:pgMar w:top="1440" w:right="1440" w:bottom="1440" w:left="1440" w:header="709" w:footer="709" w:gutter="0"/>
          <w:cols w:space="708"/>
          <w:titlePg/>
          <w:docGrid w:linePitch="360"/>
        </w:sectPr>
      </w:pPr>
    </w:p>
    <w:p w14:paraId="195E9D50"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4B1793">
        <w:rPr>
          <w:rStyle w:val="longtext"/>
          <w:rFonts w:ascii="Segoe UI" w:hAnsi="Segoe UI" w:cs="Segoe UI"/>
          <w:sz w:val="22"/>
          <w:szCs w:val="22"/>
          <w:shd w:val="clear" w:color="auto" w:fill="FFFFFF"/>
          <w:lang w:val="id-ID"/>
        </w:rPr>
        <w:t xml:space="preserve">Upaya pre-emtif ditempuh melalui penyuluhan dan edukasi, kampanye keselamatan, serta pendidikan formal. </w:t>
      </w:r>
      <w:proofErr w:type="spellStart"/>
      <w:r>
        <w:rPr>
          <w:rStyle w:val="longtext"/>
          <w:rFonts w:ascii="Segoe UI" w:hAnsi="Segoe UI" w:cs="Segoe UI"/>
          <w:sz w:val="22"/>
          <w:szCs w:val="22"/>
          <w:shd w:val="clear" w:color="auto" w:fill="FFFFFF"/>
          <w:lang w:val="sv-SE"/>
        </w:rPr>
        <w:t>Sasarannya</w:t>
      </w:r>
      <w:proofErr w:type="spellEnd"/>
      <w:r>
        <w:rPr>
          <w:rStyle w:val="longtext"/>
          <w:rFonts w:ascii="Segoe UI" w:hAnsi="Segoe UI" w:cs="Segoe UI"/>
          <w:sz w:val="22"/>
          <w:szCs w:val="22"/>
          <w:shd w:val="clear" w:color="auto" w:fill="FFFFFF"/>
          <w:lang w:val="sv-SE"/>
        </w:rPr>
        <w:t xml:space="preserve"> </w:t>
      </w:r>
      <w:proofErr w:type="spellStart"/>
      <w:r>
        <w:rPr>
          <w:rStyle w:val="longtext"/>
          <w:rFonts w:ascii="Segoe UI" w:hAnsi="Segoe UI" w:cs="Segoe UI"/>
          <w:sz w:val="22"/>
          <w:szCs w:val="22"/>
          <w:shd w:val="clear" w:color="auto" w:fill="FFFFFF"/>
          <w:lang w:val="sv-SE"/>
        </w:rPr>
        <w:t>adalah</w:t>
      </w:r>
      <w:proofErr w:type="spellEnd"/>
      <w:r>
        <w:rPr>
          <w:rStyle w:val="longtext"/>
          <w:rFonts w:ascii="Segoe UI" w:hAnsi="Segoe UI" w:cs="Segoe UI"/>
          <w:sz w:val="22"/>
          <w:szCs w:val="22"/>
          <w:shd w:val="clear" w:color="auto" w:fill="FFFFFF"/>
          <w:lang w:val="sv-SE"/>
        </w:rPr>
        <w:t xml:space="preserve"> niat, </w:t>
      </w:r>
      <w:proofErr w:type="spellStart"/>
      <w:r>
        <w:rPr>
          <w:rStyle w:val="longtext"/>
          <w:rFonts w:ascii="Segoe UI" w:hAnsi="Segoe UI" w:cs="Segoe UI"/>
          <w:sz w:val="22"/>
          <w:szCs w:val="22"/>
          <w:shd w:val="clear" w:color="auto" w:fill="FFFFFF"/>
          <w:lang w:val="sv-SE"/>
        </w:rPr>
        <w:t>bukan</w:t>
      </w:r>
      <w:proofErr w:type="spellEnd"/>
      <w:r>
        <w:rPr>
          <w:rStyle w:val="longtext"/>
          <w:rFonts w:ascii="Segoe UI" w:hAnsi="Segoe UI" w:cs="Segoe UI"/>
          <w:sz w:val="22"/>
          <w:szCs w:val="22"/>
          <w:shd w:val="clear" w:color="auto" w:fill="FFFFFF"/>
          <w:lang w:val="sv-SE"/>
        </w:rPr>
        <w:t xml:space="preserve"> perbuatan: upaya ini bekerja sebelum kehendak melanggar terbentuk. Karena temuan pada bagian sebelumnya menunjukkan bahwa akar pelanggaran terletak pada faktor manusia, maka lapisan pre-emtif seharusnya menempati porsi terbesar dalam strategi penanggulangan di Manokwari. Dalam konteks pengemudi angkutan umum, penyuluhan yang bersifat umum kepada masyarakat perlu dilengkapi pembinaan yang terarah kepada operator dan komunitas pengemudi, karena merekalah subjek yang dituju Pasal 126 Undang-Undang Nomor 22 Tahun 2009 dan merekalah yang setiap hari berada di jalan. Pembinaan demikian sejalan dengan gagasan menggairahkan kesadaran hukum masyarakat sebagai basis disiplin berlalu lintas (Naning, 2008).</w:t>
      </w:r>
    </w:p>
    <w:p w14:paraId="5DC5B365"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Upaya preventif diwujudkan melalui pengaturan dan penjagaan pada titik rawan, patroli rutin, serta penerapan teknologi penindakan berupa sistem tilang elektronik (Electronic Traffic Law Enforcement/ETLE). Nilai penting ETLE terletak pada dua hal. Pertama, ETLE memutus ketergantungan kepatuhan pada kehadiran fisik petugas, sehingga pengawasan berlangsung terus-menerus dan pelanggaran tidak sekadar berpindah tempat. Kedua, ETLE meminimalkan interaksi langsung antara pelanggar dan petugas di lapangan, sehingga mempersempit ruang penyelesaian perkara di tempat yang selama ini menjadi sumber inkonsistensi penegakan. Dengan demikian, penerapan ETLE tidak hanya bernilai teknis, tetapi juga bernilai integritas dan berkontribusi langsung pada kepastian hukum.</w:t>
      </w:r>
    </w:p>
    <w:p w14:paraId="047FFF6A"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Upaya represif dilaksanakan melalui penindakan tilang elektronik maupun manual, penjatuhan sanksi administratif dan pidana, serta operasi kepolisian seperti Operasi Patuh. Namun, </w:t>
      </w:r>
      <w:r>
        <w:rPr>
          <w:rStyle w:val="longtext"/>
          <w:rFonts w:ascii="Segoe UI" w:hAnsi="Segoe UI" w:cs="Segoe UI"/>
          <w:sz w:val="22"/>
          <w:szCs w:val="22"/>
          <w:shd w:val="clear" w:color="auto" w:fill="FFFFFF"/>
          <w:lang w:val="sv-SE"/>
        </w:rPr>
        <w:lastRenderedPageBreak/>
        <w:t>temuan penelitian menunjukkan bahwa penindakan yang bersifat insidental dan terkonsentrasi pada perlengkapan surat kendaraan belum menyentuh pelanggaran yang paling sering dilakukan pengemudi angkutan umum, yaitu berhenti dan mengetem di sembarang tempat. Padahal justru pelanggaran jenis inilah yang secara langsung menimbulkan kemacetan dan risiko kecelakaan. Karena itu, penulis berargumen bahwa fokus penindakan perlu digeser dari kelengkapan administratif menuju perilaku berlalu lintas yang berdampak pada keselamatan, disertai pencatatan pelanggaran yang tertib agar pengulangan dapat diidentifikasi dan ditindaklanjuti.</w:t>
      </w:r>
    </w:p>
    <w:p w14:paraId="3D763131"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Ditinjau dari teori tujuan hukum, ketiga lapisan upaya tersebut mencerminkan upaya menyeimbangkan tiga nilai dasar sekaligus. Upaya represif menopang kepastian hukum karena menegaskan bahwa norma yang dilanggar berakibat sanksi; upaya pre-emtif dan preventif menopang kemanfaatan hukum karena menghasilkan keselamatan dan kelancaran sebagai kebahagiaan terbesar bagi sebanyak-banyaknya pengguna jalan; sedangkan konsistensi perlakuan terhadap semua pelanggar menopang keadilan. Radbruch menegaskan bahwa ketiga nilai itu idealnya menjadi resultante yang seimbang, dan mengutamakan salah satunya secara berlebihan akan mengurangi yang lain (Qamar, 2013; Ali, 2012). Dalam praktik di Manokwari, keseimbangan itu belum tercapai karena penegakan represif tidak konsisten sementara pembinaan pre-emtif belum menjangkau komunitas pengemudi secara sistematis.</w:t>
      </w:r>
    </w:p>
    <w:p w14:paraId="7A49FAAA"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Implikasi dari uraian di atas bersifat kelembagaan. Penanggulangan pelanggaran lalu lintas tidak dapat dibebankan kepada Satuan Lalu Lintas semata, melainkan menuntut sinergi antarpemangku kepentingan. Dinas perhubungan berkewajiban menyediakan halte, terminal, rambu, dan marka yang memadai sebagaimana amanat penyelenggaraan angkutan orang dengan kendaraan bermotor umum (Peraturan Menteri Perhubungan Nomor 74 Tahun 2016; Keputusan Menteri Perhubungan Nomor KM 35 Tahun 2003); pemerintah daerah berkewajiban memelihara kondisi jalan; operator angkutan berkewajiban memastikan kelaikan armada dan kompetensi pengemudinya (Wijaya, 2016); sedangkan kepolisian berkewajiban menegakkan hukum secara konsisten dan bebas dari praktik penyelesaian di tempat. Tanpa sinergi tersebut, tujuan penyelenggaraan lalu lintas dan angkutan jalan sebagaimana dirumuskan Pasal 3 Undang-Undang Nomor 22 Tahun 2009, yaitu terwujudnya lalu lintas yang aman, selamat, tertib, dan lancar serta terwujudnya etika berlalu lintas dan kepastian hukum bagi masyarakat, akan tetap berhenti sebagai rumusan normatif.</w:t>
      </w:r>
    </w:p>
    <w:p w14:paraId="0322521C"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Akhirnya, berlakunya Undang-Undang Nomor 1 Tahun 2023 tentang Kitab Undang-Undang Hukum Pidana sejak 2 Januari 2026 memberi pijakan tambahan bagi pergeseran orientasi tersebut. Paradigma pemidanaan yang menekankan keadilan korektif dan pencegahan menegaskan bahwa penindakan pelanggaran lalu lintas sepatutnya diarahkan pada perbaikan perilaku pengemudi, bukan sekadar pada penagihan denda. Dalam konteks Manokwari, orientasi ini berarti menempatkan penindakan sebagai bagian akhir dari rangkaian pembinaan, bukan sebagai satu-satunya instrumen yang diandalkan.</w:t>
      </w:r>
    </w:p>
    <w:p w14:paraId="56B4A382" w14:textId="77777777" w:rsidR="001E0508" w:rsidRPr="001C62FB" w:rsidRDefault="006F0069" w:rsidP="006F0069">
      <w:pPr>
        <w:pStyle w:val="Heading3"/>
        <w:ind w:left="1134" w:hanging="283"/>
      </w:pPr>
      <w:r>
        <w:t>KESIMPULAN</w:t>
      </w:r>
    </w:p>
    <w:p w14:paraId="6AF199ED"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4B1793">
        <w:rPr>
          <w:rStyle w:val="longtext"/>
          <w:rFonts w:ascii="Segoe UI" w:hAnsi="Segoe UI" w:cs="Segoe UI"/>
          <w:sz w:val="22"/>
          <w:szCs w:val="22"/>
          <w:shd w:val="clear" w:color="auto" w:fill="FFFFFF"/>
        </w:rPr>
        <w:t xml:space="preserve">Faktor </w:t>
      </w:r>
      <w:proofErr w:type="spellStart"/>
      <w:r w:rsidRPr="004B1793">
        <w:rPr>
          <w:rStyle w:val="longtext"/>
          <w:rFonts w:ascii="Segoe UI" w:hAnsi="Segoe UI" w:cs="Segoe UI"/>
          <w:sz w:val="22"/>
          <w:szCs w:val="22"/>
          <w:shd w:val="clear" w:color="auto" w:fill="FFFFFF"/>
        </w:rPr>
        <w:t>penyebab</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terjadinya</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pelanggaran</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lalu</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lintas</w:t>
      </w:r>
      <w:proofErr w:type="spellEnd"/>
      <w:r w:rsidRPr="004B1793">
        <w:rPr>
          <w:rStyle w:val="longtext"/>
          <w:rFonts w:ascii="Segoe UI" w:hAnsi="Segoe UI" w:cs="Segoe UI"/>
          <w:sz w:val="22"/>
          <w:szCs w:val="22"/>
          <w:shd w:val="clear" w:color="auto" w:fill="FFFFFF"/>
        </w:rPr>
        <w:t xml:space="preserve"> oleh </w:t>
      </w:r>
      <w:proofErr w:type="spellStart"/>
      <w:r w:rsidRPr="004B1793">
        <w:rPr>
          <w:rStyle w:val="longtext"/>
          <w:rFonts w:ascii="Segoe UI" w:hAnsi="Segoe UI" w:cs="Segoe UI"/>
          <w:sz w:val="22"/>
          <w:szCs w:val="22"/>
          <w:shd w:val="clear" w:color="auto" w:fill="FFFFFF"/>
        </w:rPr>
        <w:t>pengemudi</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angkutan</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umum</w:t>
      </w:r>
      <w:proofErr w:type="spellEnd"/>
      <w:r w:rsidRPr="004B1793">
        <w:rPr>
          <w:rStyle w:val="longtext"/>
          <w:rFonts w:ascii="Segoe UI" w:hAnsi="Segoe UI" w:cs="Segoe UI"/>
          <w:sz w:val="22"/>
          <w:szCs w:val="22"/>
          <w:shd w:val="clear" w:color="auto" w:fill="FFFFFF"/>
        </w:rPr>
        <w:t xml:space="preserve"> di Kota </w:t>
      </w:r>
      <w:proofErr w:type="spellStart"/>
      <w:r w:rsidRPr="004B1793">
        <w:rPr>
          <w:rStyle w:val="longtext"/>
          <w:rFonts w:ascii="Segoe UI" w:hAnsi="Segoe UI" w:cs="Segoe UI"/>
          <w:sz w:val="22"/>
          <w:szCs w:val="22"/>
          <w:shd w:val="clear" w:color="auto" w:fill="FFFFFF"/>
        </w:rPr>
        <w:t>Manokwari</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didominasi</w:t>
      </w:r>
      <w:proofErr w:type="spellEnd"/>
      <w:r w:rsidRPr="004B1793">
        <w:rPr>
          <w:rStyle w:val="longtext"/>
          <w:rFonts w:ascii="Segoe UI" w:hAnsi="Segoe UI" w:cs="Segoe UI"/>
          <w:sz w:val="22"/>
          <w:szCs w:val="22"/>
          <w:shd w:val="clear" w:color="auto" w:fill="FFFFFF"/>
        </w:rPr>
        <w:t xml:space="preserve"> oleh </w:t>
      </w:r>
      <w:proofErr w:type="spellStart"/>
      <w:r w:rsidRPr="004B1793">
        <w:rPr>
          <w:rStyle w:val="longtext"/>
          <w:rFonts w:ascii="Segoe UI" w:hAnsi="Segoe UI" w:cs="Segoe UI"/>
          <w:sz w:val="22"/>
          <w:szCs w:val="22"/>
          <w:shd w:val="clear" w:color="auto" w:fill="FFFFFF"/>
        </w:rPr>
        <w:t>faktor</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manusia</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berupa</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rendahnya</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kesadaran</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keselamatan</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keterbatasan</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pengetahuan</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mengenai</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rambu</w:t>
      </w:r>
      <w:proofErr w:type="spellEnd"/>
      <w:r w:rsidRPr="004B1793">
        <w:rPr>
          <w:rStyle w:val="longtext"/>
          <w:rFonts w:ascii="Segoe UI" w:hAnsi="Segoe UI" w:cs="Segoe UI"/>
          <w:sz w:val="22"/>
          <w:szCs w:val="22"/>
          <w:shd w:val="clear" w:color="auto" w:fill="FFFFFF"/>
        </w:rPr>
        <w:t xml:space="preserve"> dan </w:t>
      </w:r>
      <w:proofErr w:type="spellStart"/>
      <w:r w:rsidRPr="004B1793">
        <w:rPr>
          <w:rStyle w:val="longtext"/>
          <w:rFonts w:ascii="Segoe UI" w:hAnsi="Segoe UI" w:cs="Segoe UI"/>
          <w:sz w:val="22"/>
          <w:szCs w:val="22"/>
          <w:shd w:val="clear" w:color="auto" w:fill="FFFFFF"/>
        </w:rPr>
        <w:t>marka</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serta</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sikap</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tergesa-gesa</w:t>
      </w:r>
      <w:proofErr w:type="spellEnd"/>
      <w:r w:rsidRPr="004B1793">
        <w:rPr>
          <w:rStyle w:val="longtext"/>
          <w:rFonts w:ascii="Segoe UI" w:hAnsi="Segoe UI" w:cs="Segoe UI"/>
          <w:sz w:val="22"/>
          <w:szCs w:val="22"/>
          <w:shd w:val="clear" w:color="auto" w:fill="FFFFFF"/>
        </w:rPr>
        <w:t xml:space="preserve"> dan </w:t>
      </w:r>
      <w:proofErr w:type="spellStart"/>
      <w:r w:rsidRPr="004B1793">
        <w:rPr>
          <w:rStyle w:val="longtext"/>
          <w:rFonts w:ascii="Segoe UI" w:hAnsi="Segoe UI" w:cs="Segoe UI"/>
          <w:sz w:val="22"/>
          <w:szCs w:val="22"/>
          <w:shd w:val="clear" w:color="auto" w:fill="FFFFFF"/>
        </w:rPr>
        <w:t>tidak</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disiplin</w:t>
      </w:r>
      <w:proofErr w:type="spellEnd"/>
      <w:r w:rsidRPr="004B1793">
        <w:rPr>
          <w:rStyle w:val="longtext"/>
          <w:rFonts w:ascii="Segoe UI" w:hAnsi="Segoe UI" w:cs="Segoe UI"/>
          <w:sz w:val="22"/>
          <w:szCs w:val="22"/>
          <w:shd w:val="clear" w:color="auto" w:fill="FFFFFF"/>
        </w:rPr>
        <w:t xml:space="preserve">, yang </w:t>
      </w:r>
      <w:proofErr w:type="spellStart"/>
      <w:r w:rsidRPr="004B1793">
        <w:rPr>
          <w:rStyle w:val="longtext"/>
          <w:rFonts w:ascii="Segoe UI" w:hAnsi="Segoe UI" w:cs="Segoe UI"/>
          <w:sz w:val="22"/>
          <w:szCs w:val="22"/>
          <w:shd w:val="clear" w:color="auto" w:fill="FFFFFF"/>
        </w:rPr>
        <w:t>diperkuat</w:t>
      </w:r>
      <w:proofErr w:type="spellEnd"/>
      <w:r w:rsidRPr="004B1793">
        <w:rPr>
          <w:rStyle w:val="longtext"/>
          <w:rFonts w:ascii="Segoe UI" w:hAnsi="Segoe UI" w:cs="Segoe UI"/>
          <w:sz w:val="22"/>
          <w:szCs w:val="22"/>
          <w:shd w:val="clear" w:color="auto" w:fill="FFFFFF"/>
        </w:rPr>
        <w:t xml:space="preserve"> oleh </w:t>
      </w:r>
      <w:proofErr w:type="spellStart"/>
      <w:r w:rsidRPr="004B1793">
        <w:rPr>
          <w:rStyle w:val="longtext"/>
          <w:rFonts w:ascii="Segoe UI" w:hAnsi="Segoe UI" w:cs="Segoe UI"/>
          <w:sz w:val="22"/>
          <w:szCs w:val="22"/>
          <w:shd w:val="clear" w:color="auto" w:fill="FFFFFF"/>
        </w:rPr>
        <w:t>kondisi</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kendaraan</w:t>
      </w:r>
      <w:proofErr w:type="spellEnd"/>
      <w:r w:rsidRPr="004B1793">
        <w:rPr>
          <w:rStyle w:val="longtext"/>
          <w:rFonts w:ascii="Segoe UI" w:hAnsi="Segoe UI" w:cs="Segoe UI"/>
          <w:sz w:val="22"/>
          <w:szCs w:val="22"/>
          <w:shd w:val="clear" w:color="auto" w:fill="FFFFFF"/>
        </w:rPr>
        <w:t xml:space="preserve"> yang </w:t>
      </w:r>
      <w:proofErr w:type="spellStart"/>
      <w:r w:rsidRPr="004B1793">
        <w:rPr>
          <w:rStyle w:val="longtext"/>
          <w:rFonts w:ascii="Segoe UI" w:hAnsi="Segoe UI" w:cs="Segoe UI"/>
          <w:sz w:val="22"/>
          <w:szCs w:val="22"/>
          <w:shd w:val="clear" w:color="auto" w:fill="FFFFFF"/>
        </w:rPr>
        <w:t>tidak</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memenuhi</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persyaratan</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teknis</w:t>
      </w:r>
      <w:proofErr w:type="spellEnd"/>
      <w:r w:rsidRPr="004B1793">
        <w:rPr>
          <w:rStyle w:val="longtext"/>
          <w:rFonts w:ascii="Segoe UI" w:hAnsi="Segoe UI" w:cs="Segoe UI"/>
          <w:sz w:val="22"/>
          <w:szCs w:val="22"/>
          <w:shd w:val="clear" w:color="auto" w:fill="FFFFFF"/>
        </w:rPr>
        <w:t xml:space="preserve"> dan </w:t>
      </w:r>
      <w:proofErr w:type="spellStart"/>
      <w:r w:rsidRPr="004B1793">
        <w:rPr>
          <w:rStyle w:val="longtext"/>
          <w:rFonts w:ascii="Segoe UI" w:hAnsi="Segoe UI" w:cs="Segoe UI"/>
          <w:sz w:val="22"/>
          <w:szCs w:val="22"/>
          <w:shd w:val="clear" w:color="auto" w:fill="FFFFFF"/>
        </w:rPr>
        <w:t>laik</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jalan</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keterbatasan</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prasarana</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jalan</w:t>
      </w:r>
      <w:proofErr w:type="spellEnd"/>
      <w:r w:rsidRPr="004B1793">
        <w:rPr>
          <w:rStyle w:val="longtext"/>
          <w:rFonts w:ascii="Segoe UI" w:hAnsi="Segoe UI" w:cs="Segoe UI"/>
          <w:sz w:val="22"/>
          <w:szCs w:val="22"/>
          <w:shd w:val="clear" w:color="auto" w:fill="FFFFFF"/>
        </w:rPr>
        <w:t xml:space="preserve"> dan </w:t>
      </w:r>
      <w:proofErr w:type="spellStart"/>
      <w:r w:rsidRPr="004B1793">
        <w:rPr>
          <w:rStyle w:val="longtext"/>
          <w:rFonts w:ascii="Segoe UI" w:hAnsi="Segoe UI" w:cs="Segoe UI"/>
          <w:sz w:val="22"/>
          <w:szCs w:val="22"/>
          <w:shd w:val="clear" w:color="auto" w:fill="FFFFFF"/>
        </w:rPr>
        <w:t>titik</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pemberhentian</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resmi</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serta</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penegakan</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hukum</w:t>
      </w:r>
      <w:proofErr w:type="spellEnd"/>
      <w:r w:rsidRPr="004B1793">
        <w:rPr>
          <w:rStyle w:val="longtext"/>
          <w:rFonts w:ascii="Segoe UI" w:hAnsi="Segoe UI" w:cs="Segoe UI"/>
          <w:sz w:val="22"/>
          <w:szCs w:val="22"/>
          <w:shd w:val="clear" w:color="auto" w:fill="FFFFFF"/>
        </w:rPr>
        <w:t xml:space="preserve"> yang </w:t>
      </w:r>
      <w:proofErr w:type="spellStart"/>
      <w:r w:rsidRPr="004B1793">
        <w:rPr>
          <w:rStyle w:val="longtext"/>
          <w:rFonts w:ascii="Segoe UI" w:hAnsi="Segoe UI" w:cs="Segoe UI"/>
          <w:sz w:val="22"/>
          <w:szCs w:val="22"/>
          <w:shd w:val="clear" w:color="auto" w:fill="FFFFFF"/>
        </w:rPr>
        <w:t>tidak</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konsisten</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termasuk</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praktik</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penyelesaian</w:t>
      </w:r>
      <w:proofErr w:type="spellEnd"/>
      <w:r w:rsidRPr="004B1793">
        <w:rPr>
          <w:rStyle w:val="longtext"/>
          <w:rFonts w:ascii="Segoe UI" w:hAnsi="Segoe UI" w:cs="Segoe UI"/>
          <w:sz w:val="22"/>
          <w:szCs w:val="22"/>
          <w:shd w:val="clear" w:color="auto" w:fill="FFFFFF"/>
        </w:rPr>
        <w:t xml:space="preserve"> </w:t>
      </w:r>
      <w:proofErr w:type="spellStart"/>
      <w:r w:rsidRPr="004B1793">
        <w:rPr>
          <w:rStyle w:val="longtext"/>
          <w:rFonts w:ascii="Segoe UI" w:hAnsi="Segoe UI" w:cs="Segoe UI"/>
          <w:sz w:val="22"/>
          <w:szCs w:val="22"/>
          <w:shd w:val="clear" w:color="auto" w:fill="FFFFFF"/>
        </w:rPr>
        <w:t>pelanggaran</w:t>
      </w:r>
      <w:proofErr w:type="spellEnd"/>
      <w:r w:rsidRPr="004B1793">
        <w:rPr>
          <w:rStyle w:val="longtext"/>
          <w:rFonts w:ascii="Segoe UI" w:hAnsi="Segoe UI" w:cs="Segoe UI"/>
          <w:sz w:val="22"/>
          <w:szCs w:val="22"/>
          <w:shd w:val="clear" w:color="auto" w:fill="FFFFFF"/>
        </w:rPr>
        <w:t xml:space="preserve"> di </w:t>
      </w:r>
      <w:proofErr w:type="spellStart"/>
      <w:r w:rsidRPr="004B1793">
        <w:rPr>
          <w:rStyle w:val="longtext"/>
          <w:rFonts w:ascii="Segoe UI" w:hAnsi="Segoe UI" w:cs="Segoe UI"/>
          <w:sz w:val="22"/>
          <w:szCs w:val="22"/>
          <w:shd w:val="clear" w:color="auto" w:fill="FFFFFF"/>
        </w:rPr>
        <w:t>tempat</w:t>
      </w:r>
      <w:proofErr w:type="spellEnd"/>
      <w:r w:rsidRPr="004B1793">
        <w:rPr>
          <w:rStyle w:val="longtext"/>
          <w:rFonts w:ascii="Segoe UI" w:hAnsi="Segoe UI" w:cs="Segoe UI"/>
          <w:sz w:val="22"/>
          <w:szCs w:val="22"/>
          <w:shd w:val="clear" w:color="auto" w:fill="FFFFFF"/>
        </w:rPr>
        <w:t xml:space="preserve">. </w:t>
      </w:r>
      <w:proofErr w:type="spellStart"/>
      <w:r>
        <w:rPr>
          <w:rStyle w:val="longtext"/>
          <w:rFonts w:ascii="Segoe UI" w:hAnsi="Segoe UI" w:cs="Segoe UI"/>
          <w:sz w:val="22"/>
          <w:szCs w:val="22"/>
          <w:shd w:val="clear" w:color="auto" w:fill="FFFFFF"/>
          <w:lang w:val="sv-SE"/>
        </w:rPr>
        <w:t>Seluruh</w:t>
      </w:r>
      <w:proofErr w:type="spellEnd"/>
      <w:r>
        <w:rPr>
          <w:rStyle w:val="longtext"/>
          <w:rFonts w:ascii="Segoe UI" w:hAnsi="Segoe UI" w:cs="Segoe UI"/>
          <w:sz w:val="22"/>
          <w:szCs w:val="22"/>
          <w:shd w:val="clear" w:color="auto" w:fill="FFFFFF"/>
          <w:lang w:val="sv-SE"/>
        </w:rPr>
        <w:t xml:space="preserve"> </w:t>
      </w:r>
      <w:proofErr w:type="spellStart"/>
      <w:r>
        <w:rPr>
          <w:rStyle w:val="longtext"/>
          <w:rFonts w:ascii="Segoe UI" w:hAnsi="Segoe UI" w:cs="Segoe UI"/>
          <w:sz w:val="22"/>
          <w:szCs w:val="22"/>
          <w:shd w:val="clear" w:color="auto" w:fill="FFFFFF"/>
          <w:lang w:val="sv-SE"/>
        </w:rPr>
        <w:t>bentuk</w:t>
      </w:r>
      <w:proofErr w:type="spellEnd"/>
      <w:r>
        <w:rPr>
          <w:rStyle w:val="longtext"/>
          <w:rFonts w:ascii="Segoe UI" w:hAnsi="Segoe UI" w:cs="Segoe UI"/>
          <w:sz w:val="22"/>
          <w:szCs w:val="22"/>
          <w:shd w:val="clear" w:color="auto" w:fill="FFFFFF"/>
          <w:lang w:val="sv-SE"/>
        </w:rPr>
        <w:t xml:space="preserve"> </w:t>
      </w:r>
      <w:proofErr w:type="spellStart"/>
      <w:r>
        <w:rPr>
          <w:rStyle w:val="longtext"/>
          <w:rFonts w:ascii="Segoe UI" w:hAnsi="Segoe UI" w:cs="Segoe UI"/>
          <w:sz w:val="22"/>
          <w:szCs w:val="22"/>
          <w:shd w:val="clear" w:color="auto" w:fill="FFFFFF"/>
          <w:lang w:val="sv-SE"/>
        </w:rPr>
        <w:t>perbuatan</w:t>
      </w:r>
      <w:proofErr w:type="spellEnd"/>
      <w:r>
        <w:rPr>
          <w:rStyle w:val="longtext"/>
          <w:rFonts w:ascii="Segoe UI" w:hAnsi="Segoe UI" w:cs="Segoe UI"/>
          <w:sz w:val="22"/>
          <w:szCs w:val="22"/>
          <w:shd w:val="clear" w:color="auto" w:fill="FFFFFF"/>
          <w:lang w:val="sv-SE"/>
        </w:rPr>
        <w:t xml:space="preserve"> </w:t>
      </w:r>
      <w:proofErr w:type="spellStart"/>
      <w:r>
        <w:rPr>
          <w:rStyle w:val="longtext"/>
          <w:rFonts w:ascii="Segoe UI" w:hAnsi="Segoe UI" w:cs="Segoe UI"/>
          <w:sz w:val="22"/>
          <w:szCs w:val="22"/>
          <w:shd w:val="clear" w:color="auto" w:fill="FFFFFF"/>
          <w:lang w:val="sv-SE"/>
        </w:rPr>
        <w:lastRenderedPageBreak/>
        <w:t>tersebut</w:t>
      </w:r>
      <w:proofErr w:type="spellEnd"/>
      <w:r>
        <w:rPr>
          <w:rStyle w:val="longtext"/>
          <w:rFonts w:ascii="Segoe UI" w:hAnsi="Segoe UI" w:cs="Segoe UI"/>
          <w:sz w:val="22"/>
          <w:szCs w:val="22"/>
          <w:shd w:val="clear" w:color="auto" w:fill="FFFFFF"/>
          <w:lang w:val="sv-SE"/>
        </w:rPr>
        <w:t xml:space="preserve"> telah memiliki dasar larangan dan ancaman pidana dalam Undang-Undang Nomor 22 Tahun 2009, sehingga persoalannya bukan kekosongan norma melainkan kesenjangan antara norma dan pelaksanaannya.</w:t>
      </w:r>
    </w:p>
    <w:p w14:paraId="51AB18ED"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Upaya penanggulangannya dilakukan secara berlapis melalui upaya pre-emtif berupa penyuluhan, edukasi, kampanye keselamatan, dan pendidikan formal; upaya preventif berupa pengaturan dan penjagaan, patroli rutin, serta penerapan sistem tilang elektronik (ETLE); dan upaya represif berupa penilangan elektronik maupun manual, penjatuhan sanksi administratif dan pidana, serta operasi kepolisian seperti Operasi Patuh. Penelitian ini menyimpulkan bahwa efektivitas ketiga lapisan tersebut bergantung pada konsistensi penegakan dan pembangunan budaya hukum, karena kepatuhan yang hanya muncul di hadapan petugas tidak akan menghasilkan ketertiban yang berkelanjutan.</w:t>
      </w:r>
    </w:p>
    <w:p w14:paraId="2BE81171" w14:textId="77777777"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Berdasarkan temuan tersebut, direkomendasikan agar penegakan hukum lalu lintas di Kota Manokwari diarahkan pada perilaku berkendara yang berdampak langsung pada keselamatan disertai pencatatan pelanggaran yang tertib, pembinaan pre-emtif diarahkan secara khusus kepada operator dan komunitas pengemudi angkutan umum sebagai subjek norma Pasal 126 Undang-Undang Nomor 22 Tahun 2009, serta penyediaan halte, terminal, rambu, dan marka ditingkatkan oleh pemerintah daerah dan dinas perhubungan agar tuntutan tertib berlalu lintas memiliki dasar prasarana yang wajar.</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sz w:val="24"/>
          <w:lang w:val="sv-SE"/>
        </w:rPr>
        <w:t>Referensi</w:t>
      </w:r>
    </w:p>
    <w:p w14:paraId="10E5C6E3" w14:textId="0D82CB0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rPr>
        <w:t>Aco, A., Mustari, &amp; Umar, F. (2016). Analisis tingkat kepatuhan hukum berlalu lintas bagi pengemudi angkutan umum kota di Manokwari. Jurnal Administrasi Publik, 6(2), 56.</w:t>
      </w:r>
    </w:p>
    <w:p w14:paraId="00F1F1A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rPr>
        <w:t>Ali, A. (2012). Menguak teori hukum (legal theory) dan teori peradilan (judicialprudence) termasuk interpretasi undang-undang (legisprudence). Kencana Prenada Media Group.</w:t>
      </w:r>
    </w:p>
    <w:p w14:paraId="5CCF24D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rPr>
        <w:t>Hernoko, A. Y. (2008). Hukum perjanjian: Asas proporsionalitas dalam kontrak komersial. Laksbang Mediatama.</w:t>
      </w:r>
    </w:p>
    <w:p w14:paraId="11C65D2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rPr>
        <w:t>Hobbs, F. D. (1995). Perencanaan dan teknik lalu lintas. Gadjah Mada University Press.</w:t>
      </w:r>
    </w:p>
    <w:p w14:paraId="01EF58F7"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rPr>
        <w:t>Keputusan Menteri Perhubungan Nomor KM 35 Tahun 2003 tentang Penyelenggaraan Angkutan Orang di Jalan dengan Kendaraan Umum.</w:t>
      </w:r>
    </w:p>
    <w:p w14:paraId="5634A205"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rPr>
        <w:t>Marzuki, P. M. (2008). Pengantar ilmu hukum. Kencana Prenada Media Group.</w:t>
      </w:r>
    </w:p>
    <w:p w14:paraId="3C386CB1"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rPr>
        <w:t>Mertokusumo, S. (1999). Mengenal hukum: Sebuah pengantar. Liberty.</w:t>
      </w:r>
    </w:p>
    <w:p w14:paraId="5BAE88BB"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rPr>
        <w:t>Naning, R. (2008). Menggairahkan kesadaran hukum masyarakat dan disiplin penegakan hukum lalu lintas. Bina Ilmu.</w:t>
      </w:r>
    </w:p>
    <w:p w14:paraId="51C0643F"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rPr>
        <w:t>Peraturan Menteri Perhubungan Nomor 74 Tahun 2016 tentang Penyelenggaraan Angkutan Orang dengan Kendaraan Bermotor Umum Tidak Dalam Trayek.</w:t>
      </w:r>
    </w:p>
    <w:p w14:paraId="5CD29775"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rPr>
        <w:t>Poernomo, B. (2008). Asas-asas hukum pidana. Ghalia Indonesia.</w:t>
      </w:r>
    </w:p>
    <w:p w14:paraId="160943CA"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rPr>
        <w:t>Prodjodikoro, W. (2014). Asas-asas hukum pidana di Indonesia. Refika Aditama.</w:t>
      </w:r>
    </w:p>
    <w:p w14:paraId="7C7A5F84"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rPr>
        <w:t>Qamar, N. (2013). Hak asasi manusia dalam negara hukum demokrasi (Human rights in democratische rechtsstaat). Sinar Grafika.</w:t>
      </w:r>
    </w:p>
    <w:p w14:paraId="7DAF419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rPr>
        <w:t>Ridwan, H. R. (2002). Hukum administrasi negara. UII Press.</w:t>
      </w:r>
    </w:p>
    <w:p w14:paraId="47731FD5"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rPr>
        <w:t>Rusmini. (2022). Upaya penanggulangan pelanggaran Pasal 293 ayat (2) Undang-Undang Nomor 22 Tahun 2009 tentang Lalu Lintas dan Angkutan Jalan. Majalah Civitas, 28(3), 110.</w:t>
      </w:r>
    </w:p>
    <w:p w14:paraId="26990539"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rPr>
        <w:t xml:space="preserve">Soekanto, S. (2016). Faktor-faktor yang mempengaruhi penegakan hukum. RajaGrafindo </w:t>
      </w:r>
      <w:r>
        <w:rPr>
          <w:rFonts w:cs="Segoe UI"/>
        </w:rPr>
        <w:lastRenderedPageBreak/>
        <w:t>Persada.</w:t>
      </w:r>
    </w:p>
    <w:p w14:paraId="576A233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rPr>
        <w:t>Suwardjoko, P. (2002). Pengelolaan lalu lintas dan angkutan jalan. Institut Teknologi Bandung.</w:t>
      </w:r>
    </w:p>
    <w:p w14:paraId="1DD4CD38"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rPr>
        <w:t>Undang-Undang Nomor 1 Tahun 2023 tentang Kitab Undang-Undang Hukum Pidana.</w:t>
      </w:r>
    </w:p>
    <w:p w14:paraId="07D19C96"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rPr>
        <w:t>Undang-Undang Nomor 22 Tahun 2009 tentang Lalu Lintas dan Angkutan Jalan.</w:t>
      </w:r>
    </w:p>
    <w:p w14:paraId="0F70E5A9"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rPr>
        <w:t>Widayanti. (2014). Permasalahan dan pengembangan angkutan umum di Kota Surabaya. Jurnal Transparansi, 14(1), 55.</w:t>
      </w:r>
    </w:p>
    <w:p w14:paraId="79273C96"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rPr>
        <w:t>Wijaya, A. (2016). Aspek hukum bisnis transportasi jalan online. Sinar Grafika.</w:t>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BAD51" w14:textId="77777777" w:rsidR="00D842D0" w:rsidRDefault="00D842D0" w:rsidP="009B0AF6">
      <w:pPr>
        <w:spacing w:after="0" w:line="240" w:lineRule="auto"/>
      </w:pPr>
      <w:r>
        <w:separator/>
      </w:r>
    </w:p>
  </w:endnote>
  <w:endnote w:type="continuationSeparator" w:id="0">
    <w:p w14:paraId="1A41D83B" w14:textId="77777777" w:rsidR="00D842D0" w:rsidRDefault="00D842D0"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0560"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Muhammad Alka</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59603"/>
      <w:docPartObj>
        <w:docPartGallery w:val="Page Numbers (Bottom of Page)"/>
        <w:docPartUnique/>
      </w:docPartObj>
    </w:sdtPr>
    <w:sdtEndPr>
      <w:rPr>
        <w:rFonts w:cs="Segoe UI"/>
        <w:noProof/>
        <w:sz w:val="20"/>
        <w:szCs w:val="20"/>
      </w:rPr>
    </w:sdtEndPr>
    <w:sdtContent>
      <w:p w14:paraId="4495EF9A" w14:textId="77777777"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656"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803330802" name="Straight Connector 1803330802"/>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Muhammad Alka</w:t>
        </w:r>
      </w:p>
      <w:p w14:paraId="4715B937"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187989"/>
      <w:docPartObj>
        <w:docPartGallery w:val="Page Numbers (Bottom of Page)"/>
        <w:docPartUnique/>
      </w:docPartObj>
    </w:sdtPr>
    <w:sdtEndPr>
      <w:rPr>
        <w:rFonts w:cs="Segoe UI"/>
        <w:noProof/>
        <w:sz w:val="20"/>
        <w:szCs w:val="20"/>
      </w:rPr>
    </w:sdtEndPr>
    <w:sdtContent>
      <w:p w14:paraId="5455E936" w14:textId="77777777"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2608"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949167451" name="Straight Connector 94916745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Muhammad Alka</w:t>
        </w:r>
      </w:p>
      <w:p w14:paraId="7EE09C72"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531073"/>
      <w:docPartObj>
        <w:docPartGallery w:val="Page Numbers (Bottom of Page)"/>
        <w:docPartUnique/>
      </w:docPartObj>
    </w:sdtPr>
    <w:sdtEndPr>
      <w:rPr>
        <w:rFonts w:cs="Segoe UI"/>
        <w:noProof/>
        <w:sz w:val="20"/>
        <w:szCs w:val="20"/>
      </w:rPr>
    </w:sdtEndPr>
    <w:sdtContent>
      <w:p w14:paraId="03813BA4" w14:textId="77777777"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3632"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449124561" name="Straight Connector 144912456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Muhammad Alka</w:t>
        </w:r>
      </w:p>
      <w:p w14:paraId="0FD9C14C"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74944"/>
      <w:docPartObj>
        <w:docPartGallery w:val="Page Numbers (Bottom of Page)"/>
        <w:docPartUnique/>
      </w:docPartObj>
    </w:sdtPr>
    <w:sdtEndPr>
      <w:rPr>
        <w:rFonts w:cs="Segoe UI"/>
        <w:noProof/>
        <w:sz w:val="20"/>
        <w:szCs w:val="20"/>
      </w:rPr>
    </w:sdtEndPr>
    <w:sdtContent>
      <w:p w14:paraId="5629180B" w14:textId="77777777"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158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281464828" name="Straight Connector 281464828"/>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Muhammad Alka</w:t>
        </w:r>
      </w:p>
      <w:p w14:paraId="018C4FF7"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6C4A2" w14:textId="77777777" w:rsidR="00D842D0" w:rsidRDefault="00D842D0" w:rsidP="009B0AF6">
      <w:pPr>
        <w:spacing w:after="0" w:line="240" w:lineRule="auto"/>
      </w:pPr>
      <w:r>
        <w:separator/>
      </w:r>
    </w:p>
  </w:footnote>
  <w:footnote w:type="continuationSeparator" w:id="0">
    <w:p w14:paraId="7026F818" w14:textId="77777777" w:rsidR="00D842D0" w:rsidRDefault="00D842D0"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0800"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568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F2F"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EF8DA"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3872"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1415366476" name="Rectangle 141536647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9776"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1520292417" name="Picture 152029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 xml:space="preserve">Prosiding </w:t>
    </w:r>
    <w:r w:rsidR="006F20C0">
      <w:rPr>
        <w:rFonts w:cs="Segoe UI"/>
        <w:sz w:val="20"/>
      </w:rPr>
      <w:t>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82DED"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2C830"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489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1949225673" name="Rectangle 1949225673"/>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752"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848698580" name="Picture 848698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 xml:space="preserve">Prosiding </w:t>
    </w:r>
    <w:r w:rsidR="006F20C0">
      <w:rPr>
        <w:rFonts w:cs="Segoe UI"/>
        <w:sz w:val="20"/>
      </w:rPr>
      <w:t>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85886"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3E809"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1824"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133272030" name="Rectangle 133272030"/>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7728"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756561992" name="Picture 75656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 xml:space="preserve">Prosiding </w:t>
    </w:r>
    <w:r w:rsidR="006F20C0">
      <w:rPr>
        <w:rFonts w:cs="Segoe UI"/>
        <w:sz w:val="20"/>
      </w:rPr>
      <w:t>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FC37B"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E00A2"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848"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781743717" name="Rectangle 781743717"/>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6704"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67491424" name="Picture 6749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 xml:space="preserve">Prosiding </w:t>
    </w:r>
    <w:r w:rsidR="006F20C0">
      <w:rPr>
        <w:rFonts w:cs="Segoe UI"/>
        <w:sz w:val="20"/>
      </w:rPr>
      <w:t>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1793"/>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282E"/>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42D0"/>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9.xml"/><Relationship Id="rId10" Type="http://schemas.openxmlformats.org/officeDocument/2006/relationships/hyperlink" Target="https://ojs.ukipaulus.ac.id/index.php/psnp"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4380</Words>
  <Characters>24967</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5</cp:revision>
  <cp:lastPrinted>2023-04-17T18:59:00Z</cp:lastPrinted>
  <dcterms:created xsi:type="dcterms:W3CDTF">2026-01-24T05:16:00Z</dcterms:created>
  <dcterms:modified xsi:type="dcterms:W3CDTF">2026-08-11T22:51:00Z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