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Konstruksi Dakwaan dan Pemidanaan Penipuan Daring dalam Putusan Nomor 47/Pid.Sus/2024/PN Mks</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Nasruellah</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nasruellah@ukipaulus.ac.id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online fraud, alternative indictment, electronic information law, judicial reasoning, proportionality of punishment, investment scam</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penipuan daring, dakwaan alternatif, undang-undang informasi dan transaksi elektronik, pertimbangan hakim, proporsionalitas pemidanaan, investasi fiktif</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Online fraud disguised as investment offers has become a recurring pattern of cybercrime in Indonesia, yet the electronic information law contains no explicit offence of fraud. This study examines the construction of the prosecutor's indictment and the panel's legal reasoning in Makassar District Court Decision Number 47/Pid.Sus/2024/PN Mks. The research is normative legal research employing a legal case study approach supported by statutory and conceptual approaches, using the decision as its primary legal material and analysing it descriptively and qualitatively. The findings show that the prosecutor framed the charge in alternative form, and that the panel selected the first alternative and set the second aside. The study argues that this choice is problematic because the provision selected is an aggravating clause rather than a standalone offence, so that its essential element linking the conduct to the prohibited acts was never examined, while the trial facts corresponded more closely to the second alternative. The sentence of seven months' imprisonment amounts to a small fraction of the statutory maximum and is disproportionate to the loss established at trial. Since January 2026 the provision applied has ceased to operate, whereas the alternative that was set aside remains in force.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Penipuan daring berkedok penawaran investasi telah menjadi pola kejahatan siber yang berulang di Indonesia, sementara undang-undang informasi dan transaksi elektronik tidak memuat delik penipuan secara tegas. Penelitian ini mengkaji konstruksi dakwaan penuntut umum dan pertimbangan hukum majelis hakim dalam Putusan Pengadilan Negeri Makassar Nomor 47/Pid.Sus/2024/PN Mks. Penelitian ini merupakan penelitian hukum normatif dengan pendekatan studi kasus hukum yang ditopang pendekatan peraturan perundang-undangan dan pendekatan konseptual, dengan putusan tersebut sebagai bahan hukum primer yang dianalisis secara deskriptif kualitatif. Hasil penelitian menunjukkan penuntut umum menyusun dakwaan berbentuk alternatif dan majelis hakim memilih dakwaan alternatif kesatu serta mengesampingkan dakwaan alternatif kedua. Penelitian ini berargumentasi bahwa pilihan tersebut bermasalah karena ketentuan yang dipilih berkedudukan sebagai pemberatan dan bukan delik mandiri, sehingga unsur penghubungnya tidak pernah diuji, padahal fakta persidangan justru lebih sesuai dengan dakwaan alternatif kedua. Pidana penjara tujuh bulan yang dijatuhkan hanya merupakan bagian kecil dari ancaman maksimum dan tidak proporsional dengan kerugian yang terbukti. Sejak Januari 2026 ketentuan yang diterapkan tidak lagi berlaku, sedangkan dakwaan yang dikesampingkan justru tetap berlaku.</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Perkembangan teknologi informasi dan komunikasi telah mengubah pola interaksi masyarakat dari komunikasi konvensional menjadi komunikasi dalam jaringan, sekaligus membuka ruang transaksi yang tidak lagi dibatasi jarak dan waktu. Perubahan tersebut membawa manfaat besar, tetapi pada saat yang sama melahirkan bentuk kejahatan baru dengan modus operandi yang sama sekali berbeda dari kejahatan konvensional (Sitompul, 2012). Kejahatan siber memiliki ciri khas berupa pelaku yang menguasai penggunaan internet beserta aplikasinya, sehingga perbuatannya sulit dilacak dengan cara-cara penyidikan biasa (Widodo, 2011).</w:t>
      </w:r>
    </w:p>
    <w:p>
      <w:pPr>
        <w:pStyle w:val="IEEEParagraph"/>
        <w:ind w:left="567" w:right="322" w:firstLine="567"/>
        <w:rPr>
          <w:rFonts w:ascii="Segoe UI" w:hAnsi="Segoe UI" w:cs="Segoe UI"/>
          <w:sz w:val="22"/>
          <w:szCs w:val="22"/>
        </w:rPr>
      </w:pPr>
      <w:r>
        <w:rPr>
          <w:rFonts w:ascii="Segoe UI" w:hAnsi="Segoe UI" w:cs="Segoe UI"/>
          <w:sz w:val="22"/>
          <w:szCs w:val="22"/>
        </w:rPr>
        <w:t xml:space="preserve">Salah satu bentuk kejahatan yang paling banyak memanfaatkan media daring adalah penipuan. Secara prinsip, penipuan daring tidak berbeda dari penipuan konvensional; yang membedakan hanyalah sarana perbuatannya, yaitu penggunaan sistem elektronik berupa komputer, internet, dan perangkat telekomunikasi (Maskun, 2013). Perbedaan sarana itu ternyata membawa akibat yuridis yang tidak sederhana, sebab sarana elektronik memungkinkan pelaku menjangkau korban dalam jumlah besar secara serentak, menyamarkan identitas, dan memutus jejak aliran dana melalui rekening berlapis (Maskun &amp; Meilarati, 2017).</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dogmatis, penjeratan pelaku selalu bertolak dari kesesuaian antara perbuatan yang terjadi dan rumusan unsur delik, sebab pertanggungjawaban pidana hanya dapat dibebankan apabila seluruh unsur yang disyaratkan norma terbukti (Ilyas, 2012). Tuntutan itu berlaku pula pada delik yang tersebar di luar Kitab Undang-Undang Hukum Pidana, yang penerapannya tetap tunduk pada asas legalitas dan pada larangan penafsiran yang memperluas jangkauan norma melampaui teksnya (Hamzah, 2008). Karena itu, ketepatan memilih pasal bukan sekadar persoalan teknis penuntutan, melainkan menyangkut keabsahan pemidanaan itu sendiri.</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normatifnya terletak pada dasar penjeratan. Undang-Undang Nomor 11 Tahun 2008 sebagaimana diubah dengan Undang-Undang Nomor 19 Tahun 2016 tidak memuat rumusan delik penipuan secara tegas, meskipun secara implisit terdapat unsur yang menyerupai penipuan sebagaimana diatur dalam Kitab Undang-Undang Hukum Pidana. Akibatnya, penuntut umum kerap dihadapkan pada pilihan yang tidak mudah mengenai ketentuan mana yang paling tepat diterapkan (Syarief dkk., 2015). Kesulitan tersebut bertambah karena undang-undang tersebut memuat ketentuan yang berkedudukan sebagai pemberatan, bukan sebagai delik mandiri, sehingga penerapannya menuntut kecermatan dalam merangkai rujukan pasal.</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47/Pid.Sus/2024/PN Mks memperlihatkan persoalan tersebut secara konkret. Terdakwa menawarkan investasi fiktif melalui akun media sosial dan mengarahkan calon korban ke grup pesan instan berisi testimoni keuntungan, kemudian meminta korban mentransfer dana secara bertahap ke rekening yang dikuasainya. Penuntut umum menyusun dakwaan berbentuk alternatif, majelis hakim menyatakan terdakwa terbukti bersalah, namun pidana yang dijatuhkan hanya berupa pidana penjara tujuh bulan dan denda tujuh juta rupiah, padahal ancaman pidana maksimum pada ketentuan yang diterapkan mencapai dua belas tahun penjara.</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karenanya bersifat berlapis. Pada lapis pertama terdapat pertanyaan mengenai ketepatan konstruksi dakwaan, yaitu apakah ketentuan yang dipilih penuntut umum benar-benar menjangkau perbuatan terdakwa. Pada lapis kedua terdapat pertanyaan mengenai kualitas pertimbangan hakim, yaitu apakah pemilihan salah satu dakwaan alternatif disertai pengujian seluruh unsur yang disyaratkan dan apakah pidana yang dijatuhkan proporsional dengan kesalahan serta kerugian yang terbukti.</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penipuan daring di Indonesia telah berkembang cukup lama. Arief (2007) menelaah perkembangan tindak pidana mayantara, Suseno (2012) mengkaji persoalan yurisdiksi kejahatan siber, sedangkan Syarief dkk. (2015) menganalisis penipuan pada transaksi jual beli daring. Kajian-kajian tersebut berjasa membangun kerangka konseptual, tetapi umumnya berhenti pada tataran norma dan belum menguji bagaimana norma itu benar-benar diterapkan dalam satu putusan secara rinci.</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menelusuri penerapan norma pada tingkat unsur pasal dalam satu putusan, kemudian menempatkan putusan tersebut pada titik transisi sistem pemidanaan nasional. Sejak 2 Januari 2026 berlaku Undang-Undang Nomor 1 Tahun 2023 tentang Kitab Undang-Undang Hukum Pidana bersama Undang-Undang Nomor 20 Tahun 2025 tentang Kitab Undang-Undang Hukum Acara Pidana, sementara Pasal II Undang-Undang Nomor 1 Tahun 2024 menentukan bahwa sebagian ketentuan pidana dalam undang-undang informasi dan transaksi elektronik hanya berlaku sampai dengan diberlakukannya Kitab Undang-Undang Hukum Pidana yang baru. Dimensi transisional inilah yang belum dijangkau oleh kajian terdahulu, padahal justru dimensi itu yang menentukan apakah konstruksi pemidanaan dalam putusan a quo masih dapat diulang pada perkara sejenis.</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dakwaan penuntut umum dalam tindak pidana penipuan yang dilakukan menggunakan media sosial berdasarkan Putusan Nomor 47/Pid.Sus/2024/PN Mks; kedua, menganalisis pertimbangan hukum hakim dalam putusan tersebut. Secara teoretis, penelitian ini berkontribusi pada kajian hukum pidana siber dengan memperlihatkan konsekuensi yuridis dari kekeliruan mendudukkan ketentuan pemberatan sebagai delik mandiri. Secara praktis, hasil penelitian ini dapat menjadi rujukan bagi penuntut umum dalam menyusun dakwaan yang tepat sasaran dan bagi hakim dalam menyusun pertimbangan pemidanaan yang proporsional.</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menempatkan norma hukum dan amar putusan hakim sebagai objek kajian utama. Pilihan tersebut ditentukan oleh karakter kedua permasalahan yang dirumuskan, yang sama-sama menuntut pengujian atas kesesuaian antara norma dan fakta hukum, bukan pengukuran variabel maupun pengujian hipotesis.</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utama yang digunakan adalah pendekatan studi kasus hukum (</w:t>
      </w:r>
      <w:r>
        <w:rPr>
          <w:rFonts w:ascii="Segoe UI" w:hAnsi="Segoe UI" w:cs="Segoe UI"/>
          <w:sz w:val="22"/>
          <w:szCs w:val="22"/>
          <w:i/>
          <w:iCs/>
        </w:rPr>
        <w:t xml:space="preserve">legal case study approach</w:t>
      </w:r>
      <w:r>
        <w:rPr>
          <w:rFonts w:ascii="Segoe UI" w:hAnsi="Segoe UI" w:cs="Segoe UI"/>
          <w:sz w:val="22"/>
          <w:szCs w:val="22"/>
        </w:rPr>
        <w:t xml:space="preserve">) terhadap Putusan Pengadilan Negeri Makassar Nomor 47/Pid.Sus/2024/PN Mks. Pendekatan tersebut ditopang oleh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untuk menguji rumusan unsur pada ketentuan yang didakwakan beserta perubahan dan masa berlakunya, serta pendekatan konseptual (</w:t>
      </w:r>
      <w:r>
        <w:rPr>
          <w:rFonts w:ascii="Segoe UI" w:hAnsi="Segoe UI" w:cs="Segoe UI"/>
          <w:sz w:val="22"/>
          <w:szCs w:val="22"/>
          <w:i/>
          <w:iCs/>
        </w:rPr>
        <w:t xml:space="preserve">conceptual approach</w:t>
      </w:r>
      <w:r>
        <w:rPr>
          <w:rFonts w:ascii="Segoe UI" w:hAnsi="Segoe UI" w:cs="Segoe UI"/>
          <w:sz w:val="22"/>
          <w:szCs w:val="22"/>
        </w:rPr>
        <w:t xml:space="preserve">) untuk mendudukkan konsep dakwaan alternatif, delik pemberatan, proporsionalitas pemidanaan, dan efek jera.</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pendekatan tersebut bekerja secara berlapis. Pendekatan kasus dipakai untuk merekonstruksi fakta hukum dan penalaran majelis; pendekatan perundang-undangan dipakai untuk menguji apakah ketentuan yang diterapkan memang menjangkau perbuatan yang terbukti; sedangkan pendekatan konseptual dipakai untuk menilai kelayakan pidana yang dijatuhkan. Perpaduan ini diperlukan karena permasalahan penelitian tidak berhenti pada pertanyaan apakah terdakwa terbukti bersalah, melainkan berlanjut pada pertanyaan apakah dasar hukum dan berat pidananya sudah tepat.</w:t>
      </w:r>
    </w:p>
    <w:p>
      <w:pPr>
        <w:pStyle w:val="IEEEParagraph"/>
        <w:ind w:left="567" w:right="322"/>
      </w:pPr>
    </w:p>
    <w:p>
      <w:pPr>
        <w:pStyle w:val="Heading2"/>
        <w:ind w:right="322"/>
        <w:rPr>
          <w:rStyle w:val="mediumtext"/>
        </w:rPr>
      </w:pPr>
      <w:r>
        <w:rPr>
          <w:rStyle w:val="mediumtext"/>
        </w:rPr>
        <w:t xml:space="preserve">2.2 Lokasi Penelitian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Makassar sebagai pengadilan yang menjatuhkan putusan yang dikaji. Data primer diperoleh melalui wawancara langsung dengan pihak yang terkait dengan penelitian ini, sedangkan data sekunder diperoleh melalui studi kepustakaan berupa buku, peraturan perundang-undangan, dan dokumen lain yang berkaitan langsung dengan permasalahan.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Putusan Nomor 47/Pid.Sus/2024/PN Mks beserta surat dakwaan, keterangan saksi dan terdakwa, serta daftar barang bukti yang melekat padanya; Undang-Undang Nomor 8 Tahun 1981 tentang Hukum Acara Pidana; Undang-Undang Nomor 11 Tahun 2008 tentang Informasi dan Transaksi Elektronik beserta perubahannya melalui Undang-Undang Nomor 19 Tahun 2016 dan Undang-Undang Nomor 1 Tahun 2024; Undang-Undang Nomor 1 Tahun 2023 tentang Kitab Undang-Undang Hukum Pidana; serta Undang-Undang Nomor 20 Tahun 2025 tentang Kitab Undang-Undang Hukum Acara Pidana. Bahan hukum sekunder berupa buku hukum pidana siber, artikel jurnal, dan publikasi resmi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bahan pustaka termasuk buku, peraturan perundang-undangan, dan dokumen lain yang berkaitan dengan materi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pengamatan langsung, penelaahan, dan analisis terhadap pertimbangan hukum hakim pada perkara yang dikaji.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ketentuan peralihannya, bukan pada tulisan populer, agar setiap pernyataan mengenai masa berlaku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serta dipaparkan secara deskriptif. Analisis ditempuh melalui alur berjenjang, yaitu identifikasi fakta hukum yang terungkap di persidangan, identifikasi rumusan unsur pada ketentuan yang didakwakan, pengujian kesesuaian antara fakta dan unsur, penilaian atas pertimbangan majelis hakim, dan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pengukuran proporsionalitas, yaitu menyandingkan berat pidana yang dijatuhkan dengan ancaman pidana maksimum serta dengan kerugian yang terbukti, kemudian dilanjutkan dengan komparasi normatif terhadap ketentuan yang berlaku sesudah putusan dijatuhkan. Hasil analisis disajikan secara terpadu antara hasil penelitian dan pembahasan agar argumentasi tidak terputus dari data yang mendasarinya.</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rumusan unsur diperiksa langsung pada teks undang-undang beserta perubahannya, agar tidak terjadi kekeliruan penyebutan norma maupun pencantuman ayat pada pasal yang sebenarnya tidak berayat. Kedua, setiap penilaian terhadap berat pidana diuji dengan menyandingkannya pada pandangan yang berbeda, khususnya pandangan yang menekankan kemerdekaan hakim dalam menentukan berat pidana, agar argumentasi yang dibangun tidak berubah menjadi tuntutan pembalasan.</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penipuan daring secara nasional; nilai penelitian terletak pada kedalaman analisis terhadap konstruksi penalaran hukum, bukan pada keterwakilan statistik. Penilaian terhadap regulasi terbaru juga dibatasi pada aspek rumusan unsur, ancaman pidana, dan masa berlaku ketentuan, serta tidak mencakup evaluasi empiris atas penerapannya. Kesimpulan yang ditarik karenanya berlaku pada tataran konstruksi hukum dan bukan pada penilaian atas kinerja aparat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konstruksi dakwaan penuntut umum, sedangkan subbagian 3.2 menganalisis pertimbangan hukum majelis hakim beserta proporsionalitas pidana yang dijatuhkan.</w:t>
      </w:r>
    </w:p>
    <w:p>
      <w:pPr>
        <w:pStyle w:val="IEEEParagraph"/>
        <w:ind w:left="567" w:right="322"/>
      </w:pPr>
    </w:p>
    <w:p>
      <w:pPr>
        <w:pStyle w:val="Heading2"/>
        <w:ind w:right="322"/>
        <w:rPr>
          <w:rStyle w:val="mediumtext"/>
        </w:rPr>
      </w:pPr>
      <w:r>
        <w:rPr>
          <w:rStyle w:val="mediumtext"/>
        </w:rPr>
        <w:t xml:space="preserve">3.1 Konstruksi Dakwaan Alternatif Penuntut Umum</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hukum yang menjadi dasar dakwaan dapat diringkas sebagai berikut. Terdakwa memposting penawaran investasi berimbal hasil tinggi melalui akun media sosial @auliacuansvip dan menautkan pranala menuju grup pesan instan yang berisi testimoni keuntungan guna menarik minat calon korban. Pada 23 September 2023 saksi korban melihat postingan tersebut, bergabung ke grup, dan berkomunikasi dengan admin. Korban kemudian mentransfer dana secara bertahap, dimulai dari tiga ratus ribu rupiah dan berlanjut dengan berbagai alasan hingga total Rp7.157.773,00. Imbal hasil yang dijanjikan tidak pernah diberikan dan modal tidak dikembalikan. Dana korban lalu dipindahkan berlapis ke rekening lain yang dikuasai terdakwa. Pada 12 Oktober 2023 terdakwa ditangkap di Kota Makassar bersama lima unit telepon genggam yang digunakan untuk menjalankan perbuatannya.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Atas peristiwa tersebut penuntut umum menyusun surat dakwaan berbentuk alternatif. Bentuk demikian lazim dipilih ketika penuntut umum belum memperoleh keyakinan penuh mengenai kualifikasi yuridis yang paling tepat atas satu peristiwa yang unsurnya beririsan, sehingga hakim diberi ruang memilih dakwaan yang terbukti tanpa lebih dahulu memutus dakwaan lainnya (Sofyan, 2014). Surat dakwaan sendiri wajib memenuhi syarat formal dan syarat materiil sebagaimana dimaksud Pasal 143 ayat (2) Undang-Undang Nomor 8 Tahun 1981, dan ketidakterpenuhan syarat materiil berakibat dakwaan batal demi hukum (Harahap, 1985). Tabel 1 memperbandingkan kedua dakwaan alternatif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Dakwaan Alternatif, Rumusan Unsur, Ancaman Pidana, dan Kesesuaian Fakta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2600"/>
        <w:gridCol w:w="2100"/>
        <w:gridCol w:w="2426"/>
      </w:tblGrid>
      <w:tr>
        <w:trPr>
          <w:cantSplit/>
          <w:tblHeader/>
        </w:trPr>
        <w:tc>
          <w:tcPr>
            <w:tcW w:w="1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Dakwaan</w:t>
            </w:r>
          </w:p>
        </w:tc>
        <w:tc>
          <w:tcPr>
            <w:tcW w:w="26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Inti Rumusan</w:t>
            </w:r>
          </w:p>
        </w:tc>
        <w:tc>
          <w:tcPr>
            <w:tcW w:w="2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Ancaman Pidana</w:t>
            </w:r>
          </w:p>
        </w:tc>
        <w:tc>
          <w:tcPr>
            <w:tcW w:w="24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Kesesuaian dengan Fakta Persidangan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Kesatu: Pasal 36 jo. Pasal 51 ayat (2) UU ITE</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 atau melawan hukum melakukan perbuatan sebagaimana dimaksud dalam Pasal 27 sampai dengan Pasal 34 yang mengakibatkan kerugian bagi orang lain</w:t>
            </w:r>
          </w:p>
        </w:tc>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12 tahun dan/atau denda paling banyak Rp12.000.000.000,00</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Sesuai hanya apabila dirangkaikan dengan salah satu perbuatan dalam Pasal 27 sampai dengan Pasal 34</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Kedua: Pasal 28 ayat (1) jo. Pasal 45A ayat (1) UU ITE</w:t>
            </w:r>
          </w:p>
        </w:tc>
        <w:tc>
          <w:tcPr>
            <w:tcW w:w="2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 menyebarkan berita bohong dan menyesatkan yang mengakibatkan kerugian konsumen dalam transaksi elektronik</w:t>
            </w:r>
          </w:p>
        </w:tc>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6 tahun dan/atau denda paling banyak Rp1.000.000.000,00</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Sesuai secara langsung dengan penyebaran penawaran investasi fiktif yang merugikan korban</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47/Pid.Sus/2024/PN Mks (2024) dan UU No. 11 Tahun 2008 sebagaimana diubah dengan UU No. 19 Tahun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penyusunan dakwaan dalam bentuk alternatif dapat dipahami karena kedua ketentuan sama-sama menjangkau perbuatan terdakwa yang menyebarkan informasi tidak benar melalui sistem elektronik dan menimbulkan kerugian. Namun terdapat perbedaan mendasar yang tidak boleh diabaikan. Pasal 28 ayat (1) merupakan delik mandiri yang rumusan unsurnya berdiri sendiri, sedangkan Pasal 36 bukan delik mandiri melainkan ketentuan yang memberatkan, sebab rumusannya secara tegas menunjuk pada perbuatan sebagaimana dimaksud dalam Pasal 27 sampai dengan Pasal 34. Secara yuridis, Pasal 36 hanya dapat diterapkan apabila lebih dahulu ditentukan perbuatan terlarang mana yang dilakukan terdakwa, kemudian ditunjukkan bahwa perbuatan itu mengakibatkan kerugian.</w:t>
      </w:r>
    </w:p>
    <w:p>
      <w:pPr>
        <w:pStyle w:val="IEEEParagraph"/>
        <w:ind w:left="567" w:right="322" w:firstLine="567"/>
        <w:rPr>
          <w:rFonts w:ascii="Segoe UI" w:hAnsi="Segoe UI" w:cs="Segoe UI"/>
          <w:sz w:val="22"/>
          <w:szCs w:val="22"/>
        </w:rPr>
      </w:pPr>
      <w:r>
        <w:rPr>
          <w:rFonts w:ascii="Segoe UI" w:hAnsi="Segoe UI" w:cs="Segoe UI"/>
          <w:sz w:val="22"/>
          <w:szCs w:val="22"/>
        </w:rPr>
        <w:t xml:space="preserve">Konsekuensinya, penulisan dakwaan kesatu sebagai Pasal 36 tanpa dirangkaikan dengan pasal rujukannya menyisakan persoalan pada syarat materiil surat dakwaan, yaitu uraian yang cermat, jelas, dan lengkap mengenai tindak pidana yang didakwakan. Jika dikaitkan dengan pandangan bahwa surat dakwaan menjadi batas pemeriksaan sekaligus dasar penilaian hakim (Harahap, 1985), ketidaklengkapan rujukan tersebut berpotensi mempersempit ruang pembuktian karena unsur penghubungnya tidak pernah dirumuskan untuk diuji. Temuan tersebut memperlihatkan bahwa persoalan dakwaan dalam perkara a quo bukan terletak pada bentuknya yang alternatif, melainkan pada perumusan dakwaan kesatu yang tidak menampilkan seluruh unsur yang disyaratkan norma.</w:t>
      </w:r>
    </w:p>
    <w:p>
      <w:pPr>
        <w:pStyle w:val="IEEEParagraph"/>
        <w:ind w:left="567" w:right="322"/>
      </w:pPr>
    </w:p>
    <w:p>
      <w:pPr>
        <w:pStyle w:val="Heading2"/>
        <w:ind w:right="322"/>
        <w:rPr>
          <w:rStyle w:val="mediumtext"/>
        </w:rPr>
      </w:pPr>
      <w:r>
        <w:rPr>
          <w:rStyle w:val="mediumtext"/>
        </w:rPr>
        <w:t xml:space="preserve">3.2 Pertimbangan Hukum Hakim dan Proporsionalitas Pemidanaan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mengarahkan pertimbangannya pada dakwaan alternatif kesatu dan tidak mempertimbangkan dakwaan alternatif kedua. Tiga unsur diuji, yaitu unsur barang siapa, unsur dengan sengaja dan tanpa hak atau melawan hukum, serta unsur melakukan perbuatan yang mengakibatkan kerugian bagi orang lain. Unsur barang siapa dinilai terpenuhi karena terdakwa yang dihadapkan ke persidangan adalah orang yang identitasnya sesuai dengan surat dakwaan, dewasa, berakal sehat, dan mampu bertanggung jawab. Dua unsur berikutnya dinilai terpenuhi berdasarkan keterangan saksi penyidik, keterangan saksi korban, keterangan terdakwa, dan barang bukti berupa telepon genggam yang digunakan untuk menjalankan perbuatan. Majelis kemudian menyatakan terdakwa terbukti bersalah dan menjatuhkan pidana penjara tujuh bulan serta denda Rp7.000.000,00 subsidiair satu bulan penjara.</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penilaian majelis mengenai terpenuhinya unsur kesalahan dan akibat kerugian sudah tepat, sebab fakta persidangan memang menunjukkan adanya kesengajaan, ketiadaan hak, dan kerugian yang nyata. Akan tetapi terdapat persoalan mendasar pada susunan unsur yang diuji. Rumusan Pasal 36 tidak berhenti pada frasa mengakibatkan kerugian bagi orang lain, melainkan mensyaratkan pula bahwa perbuatan tersebut merupakan perbuatan sebagaimana dimaksud dalam Pasal 27 sampai dengan Pasal 34. Unsur penghubung itu tidak muncul dalam pertimbangan majelis maupun dalam amar putusan. Secara yuridis, hal tersebut berarti ketentuan pemberatan diterapkan seolah-olah berkedudukan sebagai delik mandiri, padahal kedudukannya bukan demikian.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tersebut menjadi lebih tajam apabila dikaitkan dengan fakta persidangan. Perbuatan yang terbukti, yaitu menyebarkan penawaran investasi yang tidak benar melalui media sosial sehingga korban mengalami kerugian dalam transaksi elektronik, justru merupakan rumusan yang secara harfiah terdapat pada Pasal 28 ayat (1), yakni ketentuan yang didakwakan sebagai alternatif kedua namun dikesampingkan. Menurut analisis penulis, konstruksi yang lebih tepat adalah menerapkan Pasal 28 ayat (1) sebagai perbuatan pokok, kemudian menempatkan Pasal 36 sebagai pemberatan karena timbulnya kerugian. Dengan cara demikian seluruh unsur teruji dan bangunan penalaran putusan menjadi utuh.</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berikutnya menyangkut berat pidana. Ancaman pada Pasal 51 ayat (2) mencapai dua belas tahun penjara dan/atau denda dua belas miliar rupiah, sedangkan pidana yang dijatuhkan hanya tujuh bulan penjara dan denda tujuh juta rupiah. Tabel 2 menyandingkan ancaman pidana, pidana yang dijatuhkan, dan status keberlakuan norma yang digunakan.</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Perbandingan Ancaman Pidana, Pidana yang Dijatuhkan, dan Status Keberlakuan Norma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100"/>
        <w:gridCol w:w="3450"/>
        <w:gridCol w:w="3476"/>
      </w:tblGrid>
      <w:tr>
        <w:trPr>
          <w:cantSplit/>
          <w:tblHeader/>
        </w:trPr>
        <w:tc>
          <w:tcPr>
            <w:tcW w:w="2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4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Dakwaan Kesatu (Diterapkan)</w:t>
            </w:r>
          </w:p>
        </w:tc>
        <w:tc>
          <w:tcPr>
            <w:tcW w:w="347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Dakwaan Kedua (Dikesampingkan)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 penjara maksimum</w:t>
            </w:r>
          </w:p>
        </w:tc>
        <w:tc>
          <w:tcPr>
            <w:tcW w:w="34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12 tahun</w:t>
            </w:r>
          </w:p>
        </w:tc>
        <w:tc>
          <w:tcPr>
            <w:tcW w:w="34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6 tahun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 denda maksimum</w:t>
            </w:r>
          </w:p>
        </w:tc>
        <w:tc>
          <w:tcPr>
            <w:tcW w:w="34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Rp12.000.000.000,00</w:t>
            </w:r>
          </w:p>
        </w:tc>
        <w:tc>
          <w:tcPr>
            <w:tcW w:w="34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Rp1.000.000.000,00</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yang dijatuhkan</w:t>
            </w:r>
          </w:p>
        </w:tc>
        <w:tc>
          <w:tcPr>
            <w:tcW w:w="34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7 bulan penjara dan denda Rp7.000.000,00 subsidiair 1 bulan penjara</w:t>
            </w:r>
          </w:p>
        </w:tc>
        <w:tc>
          <w:tcPr>
            <w:tcW w:w="34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dipertimbangkan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Proporsi terhadap ancaman maksimum</w:t>
            </w:r>
          </w:p>
        </w:tc>
        <w:tc>
          <w:tcPr>
            <w:tcW w:w="34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Kurang dari lima persen dari ancaman penjara maksimum</w:t>
            </w:r>
          </w:p>
        </w:tc>
        <w:tc>
          <w:tcPr>
            <w:tcW w:w="34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dapat dihitung</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norma sejak 2 Januari 2026</w:t>
            </w:r>
          </w:p>
        </w:tc>
        <w:tc>
          <w:tcPr>
            <w:tcW w:w="34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36 termasuk ketentuan yang hanya berlaku sampai berlakunya KUHP Nasional berdasarkan Pasal II UU No. 1 Tahun 2024</w:t>
            </w:r>
          </w:p>
        </w:tc>
        <w:tc>
          <w:tcPr>
            <w:tcW w:w="34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28 ayat (1) dan Pasal 45A ayat (1) tidak termasuk dalam ketentuan tersebut sehingga tetap berlaku</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47/Pid.Sus/2024/PN Mks (2024), UU No. 19 Tahun 2016, dan UU No. 1 Tahun 2024</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bahwa pidana yang dijatuhkan berada jauh di bawah ancaman maksimum. Penilaian atas proporsionalitas tentu tidak boleh berhenti pada perbandingan angka, sebab hakim memang memiliki kemerdekaan menentukan berat pidana sepanjang tidak melampaui ancaman maksimum, dan tiadanya ancaman minimum khusus pada ketentuan tersebut memperluas ruang penilaian itu. Namun kemerdekaan tersebut menuntut pertanggungjawaban argumentatif. Dalam perkara ini majelis sendiri menempatkan kerugian korban sebagai keadaan yang memberatkan, sementara kerugian satu orang saksi korban saja telah mencapai Rp7.157.773,00 dan fakta persidangan menyebutkan masih terdapat korban lain. Terdapat ketidakselarasan antara keadaan memberatkan yang diakui dan berat pidana yang dijatuhkan.</w:t>
      </w:r>
    </w:p>
    <w:p>
      <w:pPr>
        <w:pStyle w:val="IEEEParagraph"/>
        <w:ind w:left="567" w:right="322" w:firstLine="567"/>
        <w:rPr>
          <w:rFonts w:ascii="Segoe UI" w:hAnsi="Segoe UI" w:cs="Segoe UI"/>
          <w:sz w:val="22"/>
          <w:szCs w:val="22"/>
        </w:rPr>
      </w:pPr>
      <w:r>
        <w:rPr>
          <w:rFonts w:ascii="Segoe UI" w:hAnsi="Segoe UI" w:cs="Segoe UI"/>
          <w:sz w:val="22"/>
          <w:szCs w:val="22"/>
        </w:rPr>
        <w:t xml:space="preserve">Jika dikaitkan dengan tujuan pemidanaan, pidana yang terlalu ringan sulit diharapkan menimbulkan pencegahan, baik terhadap terdakwa maupun terhadap masyarakat luas, padahal justru pencegahan umum yang dibutuhkan dalam menghadapi penipuan daring yang berulang dengan pola serupa (Prasetyo, 2014). Hukum pidana memang harus dipahami sebagai sarana perlindungan kepentingan hukum yang sekaligus membatasi kesewenangan negara (Chazawi, 2011), sehingga tuntutan agar pidana diperberat tidak boleh berubah menjadi tuntutan pembalasan. Argumentasi penulis karenanya bukan bahwa pidana harus mendekati ancaman maksimum, melainkan bahwa selisih yang demikian jauh menuntut penjelasan yang tidak ditemukan dalam pertimbangan putusan.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Ketidakselarasan itu tampak semakin nyata apabila pidana denda turut diperhitungkan. Denda Rp7.000.000,00 yang dijatuhkan bahkan lebih kecil daripada kerugian satu orang saksi korban, sedangkan denda tersebut disetorkan ke kas negara dan bukan kepada korban. Putusan juga tidak memuat pembebanan pemulihan kerugian, sehingga korban tetap berada dalam posisi tidak dipulihkan meskipun terdakwa dinyatakan bersalah.</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perkembangan hukum sesudah putusan memberi penegasan tambahan. Pasal II Undang-Undang Nomor 1 Tahun 2024 menentukan bahwa sejumlah ketentuan dalam undang-undang informasi dan transaksi elektronik, termasuk Pasal 36, hanya berlaku sampai dengan diberlakukannya Undang-Undang Nomor 1 Tahun 2023. Sejak 2 Januari 2026 ketentuan tersebut tidak lagi menjadi dasar pemidanaan karena pemberatan akibat kerugian materiel telah diserap ke dalam Kitab Undang-Undang Hukum Pidana yang baru. Sebaliknya, Pasal 28 ayat (1) beserta ancaman pidananya pada Pasal 45A ayat (1) tidak termasuk dalam ketentuan yang dibatasi masa berlakunya, sehingga tetap dapat diterapkan.</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tersebut memperkuat argumentasi penulis pada subbagian sebelumnya. Dakwaan yang dikesampingkan majelis justru merupakan dakwaan yang bertahan dalam sistem hukum yang berlaku sekarang, sedangkan dakwaan yang dipilih justru merupakan ketentuan yang telah berakhir masa berlakunya. Implikasi praktisnya, perkara penipuan daring dengan pola serupa tidak lagi dapat diselesaikan dengan konstruksi yang sama, sehingga penuntut umum dituntut lebih cermat sejak tahap penyusunan dakwaan agar kualifikasi delik mencerminkan perbuatan yang sesungguhnya dilakukan terdakwa.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Dakwaan penuntut umum dalam Putusan Pengadilan Negeri Makassar Nomor 47/Pid.Sus/2024/PN Mks disusun dalam bentuk alternatif, yaitu dakwaan kesatu berupa Pasal 36 juncto Pasal 51 ayat (2) dan dakwaan kedua berupa Pasal 28 ayat (1) juncto Pasal 45A ayat (1) Undang-Undang Informasi dan Transaksi Elektronik. Pemilihan bentuk alternatif tersebut dapat dipertanggungjawabkan karena kedua ketentuan sama-sama menjangkau perbuatan menyebarkan informasi tidak benar melalui sistem elektronik yang menimbulkan kerugian. Namun perumusan dakwaan kesatu menyisakan persoalan pada syarat materiil surat dakwaan, sebab Pasal 36 berkedudukan sebagai ketentuan yang memberatkan dan bukan delik mandiri, sehingga penerapannya menuntut perangkaian dengan salah satu perbuatan yang dilarang dalam Pasal 27 sampai dengan Pasal 34 yang tidak dicantumkan dalam dakwaan.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diarahkan pada dakwaan alternatif kesatu dengan menguji tiga unsur, dan penilaian mengenai kesengajaan, ketiadaan hak, serta akibat kerugian telah sesuai dengan fakta persidangan. Meskipun demikian, pertimbangan tersebut tidak menguji unsur penghubung yang mensyaratkan bahwa perbuatan terdakwa merupakan perbuatan sebagaimana dimaksud dalam Pasal 27 sampai dengan Pasal 34, sehingga ketentuan pemberatan diterapkan seolah-olah merupakan delik mandiri. Padahal perbuatan yang terbukti secara harfiah sesuai dengan rumusan Pasal 28 ayat (1) yang justru dikesampingkan. Pidana penjara tujuh bulan yang dijatuhkan berada jauh di bawah ancaman maksimum dua belas tahun dan tidak selaras dengan keadaan memberatkan berupa kerugian korban yang diakui majelis sendiri, tanpa disertai penjelasan yang memadai dalam pertimbangan.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menyusun dakwaan pada perkara penipuan daring dengan lebih dahulu menetapkan perbuatan pokok yang dilarang, kemudian menempatkan ketentuan pemberatan sebagai lapisan berikutnya, sehingga seluruh unsur dapat diuji secara utuh di persidangan. Bagi hakim, pertimbangan pemidanaan perlu menguraikan secara eksplisit hubungan antara keadaan memberatkan yang diakui dan berat pidana yang dijatuhkan, agar selisih terhadap ancaman maksimum tidak menimbulkan kesan pemidanaan yang tidak proporsional. Bagi aparat penegak hukum, sosialisasi mengenai ketentuan pidana dalam undang-undang informasi dan transaksi elektronik perlu diperluas sebagai upaya pencegahan, mengingat pola penawaran investasi fiktif terus berulang. Adapun bagi pengembangan ilmu, penelitian lanjutan disarankan menguji konsistensi kualifikasi delik pada perkara penipuan daring sesudah berlakunya Kitab Undang-Undang Hukum Pidana yang baru dengan cakupan putusan yang lebih luas.</w:t>
      </w:r>
    </w:p>
    <w:p>
      <w:pPr>
        <w:pStyle w:val="IEEEParagraph"/>
        <w:ind w:left="567" w:right="322" w:firstLine="567"/>
        <w:rPr>
          <w:rFonts w:ascii="Segoe UI" w:hAnsi="Segoe UI" w:cs="Segoe UI"/>
          <w:sz w:val="22"/>
          <w:szCs w:val="22"/>
        </w:rPr>
      </w:pPr>
      <w:r>
        <w:rPr>
          <w:rFonts w:ascii="Segoe UI" w:hAnsi="Segoe UI" w:cs="Segoe UI"/>
          <w:sz w:val="22"/>
          <w:szCs w:val="22"/>
        </w:rPr>
        <w:t xml:space="preserve">Akhirnya perlu ditegaskan bahwa kritik terhadap putusan ini tidak dimaksudkan mengurangi kemerdekaan hakim dalam menentukan berat pidana. Yang dituntut adalah keterhubungan yang jelas antara unsur yang diuji, keadaan yang diakui memberatkan, dan pidana yang dijatuhkan, sebab pada keterhubungan itulah keabsahan sekaligus daya yakin suatu putusan bertumpu.</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(2007). </w:t>
      </w:r>
      <w:r>
        <w:rPr>
          <w:rFonts w:cs="Segoe UI"/>
          <w:sz w:val="20"/>
          <w:szCs w:val="20"/>
          <w:i/>
          <w:iCs/>
        </w:rPr>
        <w:t xml:space="preserve">Tindak pidana mayantara: Perkembangan kajian cyber crime di Indonesia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(2011). </w:t>
      </w:r>
      <w:r>
        <w:rPr>
          <w:rFonts w:cs="Segoe UI"/>
          <w:sz w:val="20"/>
          <w:szCs w:val="20"/>
          <w:i/>
          <w:iCs/>
        </w:rPr>
        <w:t xml:space="preserve">Pelajaran hukum pidana bagian 1</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(2008).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Harahap, M. Y. (1985). </w:t>
      </w:r>
      <w:r>
        <w:rPr>
          <w:rFonts w:cs="Segoe UI"/>
          <w:sz w:val="20"/>
          <w:szCs w:val="20"/>
          <w:i/>
          <w:iCs/>
        </w:rPr>
        <w:t xml:space="preserve">Pembahasan permasalahan dan penerapan KUHAP: Jilid I</w:t>
      </w:r>
      <w:r>
        <w:rPr>
          <w:rFonts w:cs="Segoe UI"/>
          <w:sz w:val="20"/>
          <w:szCs w:val="20"/>
        </w:rPr>
        <w:t xml:space="preserve">. Sarana Bakti Semesta.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Ilyas, A. (2012). </w:t>
      </w:r>
      <w:r>
        <w:rPr>
          <w:rFonts w:cs="Segoe UI"/>
          <w:sz w:val="20"/>
          <w:szCs w:val="20"/>
          <w:i/>
          <w:iCs/>
        </w:rPr>
        <w:t xml:space="preserve">Asas-asas hukum pidana</w:t>
      </w:r>
      <w:r>
        <w:rPr>
          <w:rFonts w:cs="Segoe UI"/>
          <w:sz w:val="20"/>
          <w:szCs w:val="20"/>
        </w:rPr>
        <w:t xml:space="preserve">. Rangkang Education.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Maskun. (2013). </w:t>
      </w:r>
      <w:r>
        <w:rPr>
          <w:rFonts w:cs="Segoe UI"/>
          <w:sz w:val="20"/>
          <w:szCs w:val="20"/>
          <w:i/>
          <w:iCs/>
        </w:rPr>
        <w:t xml:space="preserve">Kejahatan siber (cyber crime): Suatu pengantar</w:t>
      </w:r>
      <w:r>
        <w:rPr>
          <w:rFonts w:cs="Segoe UI"/>
          <w:sz w:val="20"/>
          <w:szCs w:val="20"/>
        </w:rPr>
        <w:t xml:space="preserve">. Kencana Prenada 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Maskun, &amp; Meilarati, W. (2017). </w:t>
      </w:r>
      <w:r>
        <w:rPr>
          <w:rFonts w:cs="Segoe UI"/>
          <w:sz w:val="20"/>
          <w:szCs w:val="20"/>
          <w:i/>
          <w:iCs/>
        </w:rPr>
        <w:t xml:space="preserve">Aspek hukum penipuan berbasis internet</w:t>
      </w:r>
      <w:r>
        <w:rPr>
          <w:rFonts w:cs="Segoe UI"/>
          <w:sz w:val="20"/>
          <w:szCs w:val="20"/>
        </w:rPr>
        <w:t xml:space="preserve">. Keni Media.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Prasetyo, T. (2014). </w:t>
      </w:r>
      <w:r>
        <w:rPr>
          <w:rFonts w:cs="Segoe UI"/>
          <w:sz w:val="20"/>
          <w:szCs w:val="20"/>
          <w:i/>
          <w:iCs/>
        </w:rPr>
        <w:t xml:space="preserve">Hukum pidana</w:t>
      </w:r>
      <w:r>
        <w:rPr>
          <w:rFonts w:cs="Segoe UI"/>
          <w:sz w:val="20"/>
          <w:szCs w:val="20"/>
        </w:rPr>
        <w:t xml:space="preserve">. Rajawali Pers.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Sitompul, J. (2012). </w:t>
      </w:r>
      <w:r>
        <w:rPr>
          <w:rFonts w:cs="Segoe UI"/>
          <w:sz w:val="20"/>
          <w:szCs w:val="20"/>
          <w:i/>
          <w:iCs/>
        </w:rPr>
        <w:t xml:space="preserve">Cyberspace, cybercrimes, cyberlaw: Tinjauan aspek hukum pidana</w:t>
      </w:r>
      <w:r>
        <w:rPr>
          <w:rFonts w:cs="Segoe UI"/>
          <w:sz w:val="20"/>
          <w:szCs w:val="20"/>
        </w:rPr>
        <w:t xml:space="preserve">. Tatanusa.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Sofyan, A. (2014). </w:t>
      </w:r>
      <w:r>
        <w:rPr>
          <w:rFonts w:cs="Segoe UI"/>
          <w:sz w:val="20"/>
          <w:szCs w:val="20"/>
          <w:i/>
          <w:iCs/>
        </w:rPr>
        <w:t xml:space="preserve">Hukum acara pidana: Suatu pengantar</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Suseno, S. (2012). </w:t>
      </w:r>
      <w:r>
        <w:rPr>
          <w:rFonts w:cs="Segoe UI"/>
          <w:sz w:val="20"/>
          <w:szCs w:val="20"/>
          <w:i/>
          <w:iCs/>
        </w:rPr>
        <w:t xml:space="preserve">Yurisdiksi tindak pidana siber</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Syarief, E., dkk. (2015). Analisis terhadap tindak pidana penipuan pada transaksi jual-beli online di Kota Batam. </w:t>
      </w:r>
      <w:r>
        <w:rPr>
          <w:rFonts w:cs="Segoe UI"/>
          <w:sz w:val="20"/>
          <w:szCs w:val="20"/>
          <w:i/>
          <w:iCs/>
        </w:rPr>
        <w:t xml:space="preserve">Journal of Judicial Review, 17</w:t>
      </w:r>
      <w:r>
        <w:rPr>
          <w:rFonts w:cs="Segoe UI"/>
          <w:sz w:val="20"/>
          <w:szCs w:val="20"/>
        </w:rPr>
        <w:t xml:space="preserve">(1), 1–20.</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Widodo. (2011). </w:t>
      </w:r>
      <w:r>
        <w:rPr>
          <w:rFonts w:cs="Segoe UI"/>
          <w:sz w:val="20"/>
          <w:szCs w:val="20"/>
          <w:i/>
          <w:iCs/>
        </w:rPr>
        <w:t xml:space="preserve">Hukum pidana di bidang teknologi informasi (cybercrime law): Telaah teoritik dan bedah kasus</w:t>
      </w:r>
      <w:r>
        <w:rPr>
          <w:rFonts w:cs="Segoe UI"/>
          <w:sz w:val="20"/>
          <w:szCs w:val="20"/>
        </w:rPr>
        <w:t xml:space="preserve">. Aswaja Pressindo.</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47/Pid.Sus/2024/PN Mks (2024).</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19 Tahun 2016 tentang Perubahan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2024 tentang Perubahan Kedua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Nasruellah</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