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ns11="urn:schemas-microsoft-com:office:office" xmlns:ns4="http://schemas.microsoft.com/office/word/2010/wordprocessingDrawing" xmlns:ns8="http://schemas.microsoft.com/office/drawing/2010/main" xmlns:pic="http://schemas.openxmlformats.org/drawingml/2006/pictur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ns4:anchorId="1B08ECF7" ns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noChangeAspect="1"/>
            </wp:cNvGraphicFramePr>
            <a:graphic>
              <a:graphicData uri="http://schemas.openxmlformats.org/drawingml/2006/picture">
                <pic:pic>
                  <pic:nvPicPr>
                    <pic:cNvPr id="1470206167" name="Picture 1470206167"/>
                    <pic:cNvPicPr/>
                  </pic:nvPicPr>
                  <pic:blipFill>
                    <a:blip r:embed="rId8" cstate="print">
                      <a:extLst>
                        <a:ext uri="{28A0092B-C50C-407E-A947-70E740481C1C}">
                          <ns8:useLocalDpi val="0"/>
                        </a:ext>
                      </a:extLst>
                    </a:blip>
                    <a:stretch>
                      <a:fillRect/>
                    </a:stretch>
                  </pic:blipFill>
                  <pic:spPr>
                    <a:xfrm>
                      <a:off x="0" y="0"/>
                      <a:ext cx="1019175" cy="1130935"/>
                    </a:xfrm>
                    <a:prstGeom prst="rect">
                      <a:avLst/>
                    </a:prstGeom>
                  </pic:spPr>
                </pic:pic>
              </a:graphicData>
            </a:graphic>
            <ns4:sizeRelH relativeFrom="margin">
              <ns4:pctWidth>0</ns4:pctWidth>
            </ns4:sizeRelH>
            <ns4:sizeRelV relativeFrom="margin">
              <ns4:pctHeight>0</ns4:pctHeight>
            </ns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ns4:anchorId="5A661B6C" ns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noChangeAspect="1"/>
            </wp:cNvGraphicFramePr>
            <a:graphic>
              <a:graphicData uri="http://schemas.openxmlformats.org/drawingml/2006/picture">
                <pic:pic>
                  <pic:nvPicPr>
                    <pic:cNvPr id="1491302423" name="Picture 1491302423"/>
                    <pic:cNvPicPr/>
                  </pic:nvPicPr>
                  <pic:blipFill>
                    <a:blip r:embed="rId9">
                      <a:extLst>
                        <a:ext uri="{28A0092B-C50C-407E-A947-70E740481C1C}">
                          <ns8:useLocalDpi val="0"/>
                        </a:ext>
                      </a:extLst>
                    </a:blip>
                    <a:stretch>
                      <a:fillRect/>
                    </a:stretch>
                  </pic:blipFill>
                  <pic:spPr>
                    <a:xfrm>
                      <a:off x="0" y="0"/>
                      <a:ext cx="939800" cy="880110"/>
                    </a:xfrm>
                    <a:prstGeom prst="rect">
                      <a:avLst/>
                    </a:prstGeom>
                  </pic:spPr>
                </pic:pic>
              </a:graphicData>
            </a:graphic>
            <ns4:sizeRelH relativeFrom="margin">
              <ns4:pctWidth>0</ns4:pctWidth>
            </ns4:sizeRelH>
            <ns4:sizeRelV relativeFrom="margin">
              <ns4:pctHeight>0</ns4:pctHeight>
            </ns4:sizeRelV>
          </wp:anchor>
        </w:drawing>
        <mc:AlternateContent>
          <mc:Choice Requires="wps">
            <w:drawing>
              <wp:anchor distT="0" distB="0" distL="114300" distR="114300" simplePos="0" relativeHeight="251659264" behindDoc="0" locked="0" layoutInCell="1" allowOverlap="1" ns4:anchorId="4607559D" ns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ns4:sizeRelV relativeFrom="margin">
                  <ns4:pctHeight>0</ns4:pctHeight>
                </ns4:sizeRelV>
              </wp:anchor>
            </w:drawing>
          </mc:Choice>
          <mc:Fallback>
            <w:pict>
              <v:line w14:anchorId="2D52145E" id="Straight Connector 1" ns11: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ns11: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ns4:anchorId="2D9566A5" ns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ns4:sizeRelH relativeFrom="margin">
                  <ns4:pctWidth>0</ns4:pctWidth>
                </ns4:sizeRelH>
                <ns4:sizeRelV relativeFrom="margin">
                  <ns4:pctHeight>0</ns4:pctHeight>
                </ns4:sizeRelV>
              </wp:anchor>
            </w:drawing>
          </mc:Choice>
          <mc:Fallback>
            <w:pict>
              <v:line w14:anchorId="2AE7FE06" id="Straight Connector 5" ns11: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ns11: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Perkawinan Beda Agama Pasca SEMA Nomor 2 Tahun 2023 dalam Perspektif Hak Asasi Manusia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Petrus Mangambe</w:t>
      </w:r>
      <w:r>
        <w:rPr>
          <w:rFonts w:cs="Segoe UI"/>
          <w:b/>
          <w:bCs/>
          <w:sz w:val="24"/>
          <w:szCs w:val="24"/>
          <w:lang w:val="fi-FI"/>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fi-FI"/>
        </w:rPr>
        <w:t xml:space="preserve">petrus@ukipaulus.ac.id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interfaith marriage, human rights, legal certainty, Supreme Court circular letter, marriage registration, norm conflict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perkawinan beda agama, hak asasi manusia, kepastian hukum, surat edaran Mahkamah Agung, pencatatan perkawinan, konflik norma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 xml:space="preserve">Abstract: </w:t>
            </w:r>
            <w:r>
              <w:rPr>
                <w:rFonts w:cs="Segoe UI"/>
                <w:i/>
                <w:iCs/>
                <w:sz w:val="20"/>
                <w:szCs w:val="20"/>
              </w:rPr>
              <w:t xml:space="preserve">This study examines the legal position of interfaith marriage in Indonesia from a human rights perspective following Supreme Court Circular Letter (SEMA) Number 2 of 2023. The Marriage Law leaves the validity of a marriage entirely to religious law without expressly regulating interfaith marriage, while the Human Rights Law requires only the free will of the prospective spouses. This normative legal research, conducted as a legal memorandum, employs statutory, conceptual, and case approaches, relying on primary legal materials analysed qualitatively and descriptively. The study finds, first, that the absence of regulation has produced a legal vacuum, so that refusing to register a marriage solely because the spouses profess different religions operates as a restriction based on religion that is difficult to reconcile with Article 28B paragraph (1) of the 1945 Constitution. Second, SEMA Number 2 of 2023 binds only the internal sphere of the courts, is not part of the hierarchy of legislation, and conflicts with Article 35 letter a of the Population Administration Law, which prevails under the lex superior principle. Tested against Radbruch's indicators, the circular satisfies legal certainty only partially, so that statutory regulation is required.</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 xml:space="preserve">Abstrak: </w:t>
            </w:r>
            <w:r>
              <w:rPr>
                <w:rFonts w:eastAsia="Times New Roman" w:cs="Segoe UI"/>
                <w:iCs/>
                <w:sz w:val="20"/>
                <w:szCs w:val="20"/>
              </w:rPr>
              <w:t xml:space="preserve">Penelitian ini mengkaji kedudukan hukum perkawinan beda agama di Indonesia dalam perspektif hak asasi manusia setelah terbitnya Surat Edaran Mahkamah Agung (SEMA) Nomor 2 Tahun 2023. Undang-Undang Perkawinan menyerahkan keabsahan perkawinan sepenuhnya kepada hukum agama tanpa mengatur perkawinan beda agama secara eksplisit, sementara Undang-Undang Hak Asasi Manusia hanya mensyaratkan kehendak bebas calon suami dan calon istri. Penelitian hukum normatif yang disusun dalam bentuk legal memorandum ini menggunakan pendekatan perundang-undangan, konseptual, dan kasus, dengan bahan hukum primer yang dianalisis secara kualitatif-deskriptif. Hasil penelitian menunjukkan, pertama, ketiadaan pengaturan menimbulkan kekosongan hukum dan ketidakpastian hukum sehingga penolakan pencatatan perkawinan semata-mata karena perbedaan agama bekerja sebagai pembatasan berbasis agama yang sulit diselaraskan dengan Pasal 28B ayat (1) Undang-Undang Dasar 1945 dan Pasal 10 Undang-Undang Nomor 39 Tahun 1999. Kedua, SEMA Nomor 2 Tahun 2023 hanya mengikat internal pengadilan, tidak termasuk dalam hierarki peraturan perundang-undangan, dan berhadapan dengan Pasal 35 huruf a Undang-Undang Administrasi Kependudukan yang lebih tinggi berdasarkan asas lex superior. Diuji dengan indikator Radbruch, surat edaran tersebut hanya memenuhi kepastian hukum secara parsial sehingga diperlukan pengaturan setingkat undang-undang.</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 xml:space="preserve">Informasi Artikel:  Diterima: 11-08-2026,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Indonesia dibangun di atas kemajemukan suku, budaya, dan agama yang tercermin dalam semboyan Bhinneka Tunggal Ika. Kemajemukan tersebut tidak hanya bersifat sosiologis, tetapi juga yuridis, karena sejarah hukum Indonesia memperlihatkan berlakunya beberapa sistem hukum sekaligus, yaitu hukum adat, hukum Islam, dan hukum Barat, yang masing-masing memiliki corak dan sistem tersendiri (Ali, 1990). Pluralisme itu paling terasa pada bidang hukum keluarga, khususnya perkawinan, karena perkawinan merupakan lembaga yang secara langsung menentukan kedudukan seseorang dalam lalu lintas hukum (Darmabrata &amp; Sjarif, 2004). Dalam kondisi keberagaman seperti itu, interaksi sosial antarkelompok yang berbeda keyakinan merupakan keniscayaan dan tidak jarang berlanjut menjadi hubungan perkawinan.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normatif, Pasal 1 Undang-Undang Nomor 1 Tahun 1974 tentang Perkawinan sebagaimana telah diubah dengan Undang-Undang Nomor 16 Tahun 2019 merumuskan perkawinan sebagai ikatan lahir batin antara seorang pria dan seorang wanita sebagai suami istri dengan tujuan membentuk keluarga yang bahagia dan kekal berdasarkan Ketuhanan Yang Maha Esa. Berbeda dengan konsepsi Kitab Undang-Undang Hukum Perdata yang memandang perkawinan semata-mata sebagai hubungan keperdataan (Subekti, 1987), Pasal 2 ayat (1) Undang-Undang Perkawinan menggantungkan keabsahan perkawinan pada hukum masing-masing agama dan kepercayaan, sehingga undang-undang tersebut bercorak keagamaan dan sekaligus mempertahankan pluralisme yang hendak diakhirinya (Asmin, 1986). Persoalannya, undang-undang itu sama sekali tidak mengatur perkawinan antara dua orang yang berbeda agama, baik dalam bentuk kebolehan maupun larangan yang tegas.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Kekosongan pengaturan tersebut berhadapan dengan praktik yang terus berlangsung. Indonesian Conference on Religion and Peace mencatat sejak tahun 2005 terdapat 1.425 pasangan beda agama yang melangsungkan perkawinan di Indonesia. Data pada Direktori Putusan Mahkamah Agung Republik Indonesia menunjukkan bahwa dalam rentang tahun 2007 sampai dengan 2022 terdapat 73 salinan penetapan pengadilan negeri yang berkaitan dengan pencatatan perkawinan beda agama, dan sebanyak 94,5% atau 69 permohonan di antaranya dikabulkan. Pengadilan negeri pada umumnya mendasarkan penetapannya pada Pasal 34 dan Pasal 35 huruf a beserta penjelasannya dalam Undang-Undang Nomor 23 Tahun 2006 tentang Administrasi Kependudukan sebagaimana telah diubah dengan Undang-Undang Nomor 24 Tahun 2013, bukan pada Undang-Undang Perkawinan.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Praktik yang tidak seragam itu menjadi latar terbitnya Surat Edaran Mahkamah Agung Nomor 2 Tahun 2023 tentang Petunjuk bagi Hakim dalam Mengadili Perkara Permohonan Pencatatan Perkawinan Antar-Umat yang Berbeda Agama dan Kepercayaan. Surat edaran tersebut menegaskan kembali Pasal 2 ayat (1) dan Pasal 8 huruf f Undang-Undang Perkawinan serta memerintahkan pengadilan untuk tidak mengabulkan permohonan pencatatan perkawinan beda agama. Dari sini muncul dua sumbu persoalan hukum sekaligus, yaitu ketegangan antara konsepsi perkawinan dalam Undang-Undang Perkawinan dan konsepsi perkawinan sebagai hak asasi dalam Pasal 28B ayat (1) Undang-Undang Dasar Negara Republik Indonesia Tahun 1945 juncto Pasal 10 Undang-Undang Nomor 39 Tahun 1999 tentang Hak Asasi Manusia, serta ketegangan antara surat edaran yang tidak termasuk dalam hierarki peraturan perundang-undangan menurut Pasal 7 ayat (1) Undang-Undang Nomor 12 Tahun 2011 dan norma undang-undang yang selama ini dijadikan dasar penetapan pengadilan.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Sejumlah penelitian terdahulu telah menyoroti persoalan tersebut dari sudut yang berbeda-beda. Amri (2020) memetakan kedudukan perkawinan beda agama menurut hukum positif dan hukum Islam sebelum surat edaran terbit. Kharisma (2023) mempertanyakan apakah SEMA Nomor 2 Tahun 2023 benar-benar mengakhiri polemik perkawinan beda agama, sementara Santoso dkk. (2023) menempatkan pembahasan pada kedudukan dan kekuatan hukum surat edaran Mahkamah Agung dalam sistem hukum positif Indonesia. Harahap dkk. (2024) menganalisis satu penetapan Pengadilan Negeri Jakarta Utara sebagai studi kasus, Fenecia dkk. (2024) menilai kepastian hukum surat edaran dalam bingkai kebinekaan, dan Hassan dan Mesraini (2025) menyoroti ruang diskresi hakim dalam perkara perkawinan beda agama.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Berbeda dengan penelitian-penelitian tersebut yang umumnya berhenti pada kedudukan formal surat edaran atau pada analisis satu penetapan pengadilan, penelitian ini menitikberatkan pada pertemuan dua lapis persoalan yang selama ini dibahas secara terpisah, yaitu penilaian hak asasi manusia terhadap penolakan pencatatan perkawinan beda agama dan pengujian SEMA Nomor 2 Tahun 2023 terhadap indikator kepastian hukum. Pemisahan pembahasan itulah yang menyisakan ruang kajian, sebab menilai surat edaran semata-mata dari kekuatan mengikatnya tidak menjelaskan mengapa persoalan hukum yang sama terus berulang, sedangkan menilai persoalan semata-mata dari perspektif hak asasi manusia tidak menjelaskan mengapa penyeragaman putusan hakim tetap dibutuhkan.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Posisi penelitian ini karena itu bersifat menghubungkan. Kedudukan hukum SEMA Nomor 2 Tahun 2023 tidak diperlakukan sebagai persoalan hierarki norma semata, melainkan diuji dengan aspek-aspek kepastian hukum yang dikemukakan Gustav Radbruch sebagaimana diuraikan Rahardjo (2012), kemudian hasil pengujian itu dipertemukan dengan penilaian atas praktik penolakan pencatatan perkawinan beda agama dari perspektif hak asasi manusia. Dengan cara demikian dapat ditunjukkan bahwa persoalan yang dihadapi bukan terletak pada isi petunjuk Mahkamah Agung, melainkan pada bentuk hukum yang digunakan untuk menutup kekosongan norma.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tersebut, penelitian ini bertujuan untuk mengetahui dan menganalisis pelaksanaan perkawinan beda agama dalam perspektif hak asasi manusia, serta untuk menganalisis kedudukan dan implikasi hukum pelaksanaan perkawinan beda agama setelah terbitnya Surat Edaran Mahkamah Agung Nomor 2 Tahun 2023.</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teoretis, penelitian ini diharapkan memperkaya kajian hukum keluarga dan hak asasi manusia dengan menyediakan kerangka pengujian kepastian hukum terhadap produk hukum non-legislatif yang dipakai mengisi kekosongan norma. Secara praktis, temuan penelitian ini dapat menjadi bahan pertimbangan bagi pembentuk undang-undang dalam menata ulang pengaturan perkawinan beda agama, bagi hakim dalam memahami batas keberlakuan surat edaran, dan bagi instansi pencatatan sipil dalam menempatkan kewenangan administratifnya secara proporsional.</w:t>
      </w:r>
    </w:p>
    <w:p w14:paraId="1382B788" w14:textId="468BF956" w:rsidR="001E0508" w:rsidRPr="001C62FB" w:rsidRDefault="001C62FB" w:rsidP="00955050">
      <w:pPr>
        <w:pStyle w:val="Heading3"/>
        <w:ind w:left="1134" w:right="322" w:hanging="425"/>
      </w:pPr>
      <w:r>
        <w:t xml:space="preserve">METODOLOGI PENELITIAN </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menguraikan cara penelitian dilakukan sehingga hasil yang diperoleh dapat ditelusuri dan diuji kembali. Penelitian ini merupakan penelitian hukum yang berorientasi pada norma, sehingga uraian metodologi difokuskan pada jenis dan pendekatan penelitian, bahan hukum yang digunakan, teknik pengumpulan bahan hukum, serta teknik analisis yang diterapkan terhadap bahan hukum tersebut.</w:t>
      </w:r>
    </w:p>
    <w:p w14:paraId="554F5361" w14:textId="5C7D14CE" w:rsidR="001C62FB" w:rsidRPr="00955050" w:rsidRDefault="001C62FB" w:rsidP="00955050">
      <w:pPr>
        <w:pStyle w:val="Heading2"/>
        <w:ind w:right="322"/>
        <w:rPr>
          <w:rStyle w:val="mediumtext"/>
        </w:rPr>
      </w:pPr>
      <w:r>
        <w:rPr>
          <w:rStyle w:val="mediumtext"/>
        </w:rPr>
        <w:t xml:space="preserve">2.1 Jenis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Jenis penelitian yang digunakan adalah penelitian hukum normatif, yaitu penelitian yang menempatkan norma hukum sebagai objek kajian utama dan menelaah bahan hukum sebagai sumber data. Penelitian ini disusun dalam bentuk pendapat hukum atau legal memorandum, yakni kajian yang diarahkan untuk memberikan penilaian hukum atas suatu persoalan konkret, dalam hal ini kedudukan hukum perkawinan beda agama setelah terbitnya SEMA Nomor 2 Tahun 2023.</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Terdapat tiga pendekatan yang digunakan secara bersamaan. Pendekatan perundang-undangan digunakan untuk menelaah keterkaitan dan pertentangan antara Undang-Undang Perkawinan, Undang-Undang Hak Asasi Manusia, Undang-Undang Administrasi Kependudukan, Undang-Undang Nomor 12 Tahun 2011, dan surat edaran yang menjadi objek kajian. Pendekatan konseptual digunakan untuk membangun pisau analisis dari konsep kepastian hukum dan konsep hak asasi manusia. Pendekatan kasus digunakan secara terbatas terhadap praktik penetapan pengadilan negeri mengenai pencatatan perkawinan beda agama sebagaimana terekam dalam Direktori Putusan Mahkamah Agung, bukan untuk menilai satu penetapan tertentu, melainkan untuk menunjukkan pola penerapan norma sebelum surat edaran terbit.</w:t>
      </w:r>
    </w:p>
    <w:p w14:paraId="554F5361" w14:textId="5C7D14CE" w:rsidR="001C62FB" w:rsidRPr="00955050" w:rsidRDefault="001C62FB" w:rsidP="00955050">
      <w:pPr>
        <w:pStyle w:val="Heading2"/>
        <w:ind w:right="322"/>
        <w:rPr>
          <w:rStyle w:val="mediumtext"/>
        </w:rPr>
      </w:pPr>
      <w:r>
        <w:rPr>
          <w:rStyle w:val="mediumtext"/>
        </w:rPr>
        <w:t xml:space="preserve">2.2 Bahan Hukum dan Sumbernya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primer yang digunakan meliputi Undang-Undang Dasar Negara Republik Indonesia Tahun 1945, khususnya Pasal 28B ayat (1), Pasal 28E ayat (1), dan Pasal 29 ayat (2); Undang-Undang Nomor 1 Tahun 1974 tentang Perkawinan juncto Undang-Undang Nomor 16 Tahun 2019; Peraturan Pemerintah Nomor 9 Tahun 1975; Undang-Undang Nomor 39 Tahun 1999 tentang Hak Asasi Manusia; Undang-Undang Nomor 23 Tahun 2006 tentang Administrasi Kependudukan juncto Undang-Undang Nomor 24 Tahun 2013; Undang-Undang Nomor 12 Tahun 2011 tentang Pembentukan Peraturan Perundang-undangan; serta Surat Edaran Mahkamah Agung Nomor 2 Tahun 2023.</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primer tersebut dipilih berdasarkan keterkaitannya secara langsung dengan dua isu yang dikaji. Kelompok pertama merupakan norma yang menentukan keabsahan perkawinan, kelompok kedua merupakan norma yang menjamin hak asasi manusia dan melarang diskriminasi, kelompok ketiga merupakan norma yang mengatur pencatatan peristiwa penting kependudukan, dan kelompok keempat merupakan norma yang menentukan jenis serta hierarki peraturan perundang-undangan sebagai dasar penyelesaian pertentangan norma. Pengelompokan tersebut diperlukan karena persoalan yang dikaji tidak dapat dijawab hanya dengan membaca satu undang-undang secara terpisah.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sekunder terdiri atas buku dan artikel jurnal ilmiah yang membahas hukum perkawinan, perkawinan campuran, kepastian hukum, dan hak asasi manusia, termasuk kajian mutakhir mengenai SEMA Nomor 2 Tahun 2023. Data pendukung berupa jumlah pasangan beda agama dan rekapitulasi penetapan pengadilan negeri diambil dari catatan Indonesian Conference on Religion and Peace dan Direktori Putusan Mahkamah Agung sebagaimana dikutip dalam bahan hukum sekunder yang digunakan.</w:t>
      </w:r>
    </w:p>
    <w:p w14:paraId="554F5361" w14:textId="5C7D14CE" w:rsidR="001C62FB" w:rsidRPr="00955050" w:rsidRDefault="001C62FB" w:rsidP="00955050">
      <w:pPr>
        <w:pStyle w:val="Heading2"/>
        <w:ind w:right="322"/>
        <w:rPr>
          <w:rStyle w:val="mediumtext"/>
        </w:rPr>
      </w:pPr>
      <w:r>
        <w:rPr>
          <w:rStyle w:val="mediumtext"/>
        </w:rPr>
        <w:t xml:space="preserve">2.3 Teknik Pengumpulan Bahan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dikumpulkan melalui studi kepustakaan (library research). Penelusuran dilakukan terhadap teks resmi peraturan perundang-undangan, dokumen surat edaran, serta literatur hukum dan artikel jurnal yang relevan. Terhadap setiap bahan hukum primer dilakukan pemeriksaan atas nomor, tahun, dan rumusan pasal yang dikutip agar kutipan yang digunakan dalam analisis sesuai dengan teks resminya. Bahan hukum yang telah terkumpul kemudian diinventarisasi dan diklasifikasikan menurut isu yang dijawab, yaitu isu hak asasi manusia dan isu kedudukan surat edaran.</w:t>
      </w:r>
    </w:p>
    <w:p w14:paraId="554F5361" w14:textId="5C7D14CE" w:rsidR="001C62FB" w:rsidRPr="00955050" w:rsidRDefault="001C62FB" w:rsidP="00955050">
      <w:pPr>
        <w:pStyle w:val="Heading2"/>
        <w:ind w:right="322"/>
        <w:rPr>
          <w:rStyle w:val="mediumtext"/>
        </w:rPr>
      </w:pPr>
      <w:r>
        <w:rPr>
          <w:rStyle w:val="mediumtext"/>
        </w:rPr>
        <w:t xml:space="preserve">2.4 Teknik Analisis Bahan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Seluruh bahan hukum dianalisis secara kualitatif dan disajikan secara deskriptif-analitis. Analisis dilakukan melalui penafsiran gramatikal terhadap rumusan pasal dan penafsiran sistematis untuk menempatkan setiap norma dalam keseluruhan sistem hukum yang berlaku. Terhadap pertentangan norma yang ditemukan diterapkan asas lex superior derogat legi inferiori sebagaimana tercermin dalam Pasal 7 ayat (1) Undang-Undang Nomor 12 Tahun 2011.</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Sebagai pisau analisis digunakan teori kepastian hukum. Empat aspek kepastian hukum menurut Gustav Radbruch, yaitu hukum sebagai hukum positif, hukum yang didasarkan pada fakta, rumusan fakta yang jelas sehingga tidak menimbulkan kekeliruan penafsiran, dan hukum positif yang tidak mudah diubah, dipakai sebagai indikator pengujian (Rahardjo, 2012). Indikator tersebut dilengkapi dengan pandangan Sudikno Mertokusumo yang memaknai kepastian hukum sebagai jaminan agar hukum berjalan sebagaimana bunyinya (Marzuki, 2008), syarat internal norma yang dikemukakan Ismail (2007) berupa kejelasan konsep, kejelasan hierarki, dan konsistensi antarnorma, serta asas legalitas formal yang dirumuskan Fuller (1964), khususnya asas larangan pertentangan antarperaturan dan asas peraturan tidak boleh terlalu sering diubah.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Keabsahan analisis dijaga dengan membatasi kesimpulan pada bahan hukum yang benar-benar tersedia. Penelitian ini tidak melakukan pengukuran kuantitatif atas efektivitas surat edaran dan tidak menggeneralisasi sikap pemuka agama, sehingga uraian mengenai pandangan agama ditempatkan sebagai konteks normatif, bukan sebagai temuan empiris.</w:t>
      </w:r>
    </w:p>
    <w:p w14:paraId="554F5361" w14:textId="5C7D14CE" w:rsidR="001C62FB" w:rsidRPr="00955050" w:rsidRDefault="001C62FB" w:rsidP="00955050">
      <w:pPr>
        <w:pStyle w:val="Heading2"/>
        <w:ind w:right="322"/>
        <w:rPr>
          <w:rStyle w:val="mediumtext"/>
        </w:rPr>
      </w:pPr>
      <w:r>
        <w:rPr>
          <w:rStyle w:val="mediumtext"/>
        </w:rPr>
        <w:t xml:space="preserve">2.5 Tahapan Analisis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Analisis dilakukan dalam empat tahap yang berurutan. Tahap pertama adalah inventarisasi norma, yaitu memetakan seluruh ketentuan yang mengatur keabsahan dan pencatatan perkawinan beserta jenjang kedudukannya dalam hierarki peraturan perundang-undangan. Tahap kedua adalah identifikasi pertentangan norma, yakni menemukan titik-titik ketidakselarasan antara norma hak asasi manusia, norma perkawinan, norma administrasi kependudukan, dan petunjuk dalam surat edaran.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Tahap ketiga adalah pengujian, yaitu menilai setiap temuan pertentangan dengan asas penyelesaian konflik norma dan dengan indikator kepastian hukum yang telah ditetapkan sebelumnya, sehingga diperoleh penilaian yang dapat ditelusuri dasarnya, bukan sekadar penilaian yang bersifat menyetujui atau menolak. Tahap keempat adalah penarikan kesimpulan hukum sekaligus perumusan rekomendasi, yang dibatasi hanya pada hal-hal yang secara langsung dapat diturunkan dari hasil pengujian pada tahap ketiga. Penyajian hasil analisis mengikuti alur masalah hukum, norma yang berlaku, fakta hukum, penerapan norma, penilaian atas ketepatan penerapan, dan argumentasi penulis.</w:t>
      </w:r>
    </w:p>
    <w:p w14:paraId="12B5585A" w14:textId="6E9841B4" w:rsidR="001E0508" w:rsidRPr="001C62FB" w:rsidRDefault="006F0069" w:rsidP="006F0069">
      <w:pPr>
        <w:pStyle w:val="Heading3"/>
        <w:ind w:left="1134" w:hanging="283"/>
      </w:pPr>
      <w:r>
        <w:rPr>
          <w:iCs/>
        </w:rPr>
        <w:t>HASIL DA</w:t>
      </w:r>
      <w:r>
        <w:t>N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menyajikan temuan penelitian sekaligus analisisnya secara terpadu. Pembahasan disusun mengikuti dua rumusan masalah, yaitu pelaksanaan perkawinan beda agama dalam perspektif hak asasi manusia, dan kedudukan serta implikasi hukum perkawinan beda agama setelah terbitnya Surat Edaran Mahkamah Agung Nomor 2 Tahun 2023.</w:t>
      </w:r>
    </w:p>
    <w:p w14:paraId="554F5361" w14:textId="5C7D14CE" w:rsidR="001C62FB" w:rsidRPr="00955050" w:rsidRDefault="001C62FB" w:rsidP="00955050">
      <w:pPr>
        <w:pStyle w:val="Heading2"/>
        <w:ind w:right="322"/>
        <w:rPr>
          <w:rStyle w:val="mediumtext"/>
        </w:rPr>
      </w:pPr>
      <w:r>
        <w:rPr>
          <w:rStyle w:val="mediumtext"/>
        </w:rPr>
        <w:t xml:space="preserve">3.1 Perkawinan Beda Agama dalam Perspektif Hak Asasi Manusia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Sejak Perubahan Undang-Undang Dasar 1945, hak asasi manusia memperoleh kedudukan yang kuat dan diatur dalam satu bab tersendiri. Pasal 28B ayat (1) menyatakan bahwa setiap orang berhak membentuk keluarga dan melanjutkan keturunan melalui perkawinan yang sah, sedangkan Pasal 28E ayat (1) dan Pasal 29 ayat (2) menjamin kemerdekaan setiap orang memeluk agama dan beribadat menurut agama dan kepercayaannya. Jaminan itu dipertegas pada tataran undang-undang melalui Pasal 10 ayat (1) Undang-Undang Nomor 39 Tahun 1999 tentang Hak Asasi Manusia, sementara Pasal 22 undang-undang yang sama menjamin kebebasan beragama, dan Pasal 3 ayat (3) menegaskan bahwa perlindungan hak asasi manusia dijamin tanpa diskriminasi. Rumusan serupa telah lebih dahulu dikenal dalam Pasal 16 Deklarasi Universal Hak Asasi Manusia yang menempatkan kebangsaan, kewarganegaraan, dan agama sebagai hal yang tidak boleh membatasi hak untuk menikah dan membentuk keluarga.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Titik krusialnya terletak pada Pasal 10 ayat (2) Undang-Undang Hak Asasi Manusia yang menentukan bahwa perkawinan yang sah hanya dapat berlangsung atas kehendak bebas calon suami dan calon istri. Penjelasan pasal tersebut memaknai kehendak bebas sebagai kehendak yang lahir dari niat suci tanpa paksaan, penipuan, atau tekanan dari siapa pun. Secara gramatikal, undang-undang ini menempatkan kehendak bebas sebagai syarat pokok keabsahan perkawinan. Sebaliknya, Pasal 2 Undang-Undang Perkawinan menambahkan dua syarat sekaligus, yaitu keabsahan menurut hukum agama dan kepercayaan serta pencatatan menurut peraturan perundang-undangan. Hazairin (1986) bahkan menafsirkan penjelasan Pasal 2 ayat (1) secara tegas sebagai ketiadaan kemungkinan bagi pemeluk suatu agama untuk kawin dengan melanggar hukum agamanya sendiri. Jika kedua undang-undang tersebut dibaca berdampingan, tampak bahwa keduanya tidak berbicara pada tataran yang sama: yang satu merumuskan hak, yang lain merumuskan syarat keabsahan, dan ketidakselarasan itulah yang kemudian ditanggung oleh warga negara.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Ketidakselarasan tersebut memiliki akar historis. Sebelum berlakunya Undang-Undang Nomor 1 Tahun 1974, perkawinan antara orang-orang yang tunduk pada hukum yang berlainan diatur dalam Regeling op de Gemengde Huwelijken (Staatsblad 1898 Nomor 158), yang menurut Pasal 7 ayat (2)-nya secara tegas menyatakan bahwa perbedaan asal usul, agama, dan kebangsaan bukan penghalang untuk melangsungkan perkawinan. Rumusan Pasal 1 peraturan tersebut dipahami secara luas oleh sebagian besar sarjana hukum sebagai mencakup pula perkawinan beda agama (Gautama, 1980; Prawirohamidjojo, 1988; Prodjodikoro, 1998). Pasal 57 Undang-Undang Perkawinan kemudian mempersempit pengertian perkawinan campuran hanya pada perbedaan kewarganegaraan, dan Pasal 66 menyatakan peraturan lama tidak berlaku lagi sepanjang telah diatur. Akibatnya, unifikasi yang dimaksudkan menghadirkan kepastian hukum justru menghilangkan satu-satunya pijakan normatif bagi perkawinan beda agama tanpa menggantinya dengan pengaturan baru.</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Kekosongan itu tidak menghentikan praktik, melainkan mengalihkannya. Dalam praktik, perkawinan beda agama tetap dilangsungkan melalui beberapa jalan, yaitu permohonan penetapan pengadilan, pelaksanaan menurut masing-masing agama, penundukan sementara pada salah satu hukum agama, atau pelaksanaan perkawinan di luar negeri dengan memanfaatkan Pasal 56 Undang-Undang Perkawinan (Darmabrata, 2003). Kantor Catatan Sipil pada sejumlah daerah juga mencatatkan perkawinan tersebut atas dasar kebijaksanaan, dan sampai penelitian ini disusun tidak ditemukan putusan pengadilan yang membatalkan perkawinan beda agama yang telah dicatatkan (Rusli &amp; Tama, 1984). Menurut analisis penulis, kenyataan ini memperlihatkan bahwa norma yang ada tidak memiliki daya laku penuh: ia berhasil menolak pengakuan, tetapi gagal menghentikan perbuatan hukum yang ditolaknya, dan justru mendorong penyelundupan hukum berupa penggunaan hukum asing untuk menghindari penerapan hukum nasional (Gautama, 1980).</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Hampir seluruh agama yang diakui di Indonesia pada prinsipnya tidak menghendaki perkawinan beda agama, meskipun dengan derajat ketegasan yang berbeda: hukum Islam melarangnya, hukum Katolik memungkinkannya melalui dispensasi gereja, gereja Kristen menganjurkan pasangan seagama tanpa melarang, hukum Hindu mensyaratkan kedua mempelai beragama Hindu, sedangkan Buddha dan Khonghucu tidak mengaturnya secara eksplisit (Ichtiyanto, 2003; Nurcholish, 2004). Persoalan hukumnya karena itu bukan terletak pada substansi ajaran agama, melainkan pada pilihan negara menjadikan penilaian keagamaan sebagai satu-satunya pintu pengakuan administratif tanpa menyediakan jalan keluar bagi warga negara yang berada di luarnya.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konstruksi hukum tersebut, penolakan pencatatan perkawinan semata-mata karena perbedaan agama harus dinilai sebagai pembatasan yang didasarkan atas agama. Perlu diakui bahwa terhadap pandangan ini terdapat argumentasi tandingan, yaitu bahwa Pasal 28J ayat (2) Undang-Undang Dasar 1945 membuka ruang pembatasan hak dengan pertimbangan nilai agama dan ketertiban umum. Namun argumentasi tersebut justru memperkuat kesimpulan penelitian ini pada satu hal yang menentukan, sebab pasal itu sendiri mensyaratkan bahwa pembatasan hanya boleh ditetapkan dengan undang-undang. Sepanjang pembatasan atas hak yang dijamin Pasal 28B ayat (1) dilakukan melalui penafsiran atas norma yang tidak mengaturnya secara tegas, dan kemudian dikukuhkan melalui instrumen yang bukan undang-undang, maka pembatasan itu tidak memenuhi syarat konstitusionalnya sendiri. Perbandingan kedudukan norma yang relevan disajikan pada Tabel 1.</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1. </w:t>
      </w:r>
      <w:r>
        <w:rPr>
          <w:rFonts w:eastAsia="Constantia" w:cs="Segoe UI"/>
          <w:sz w:val="18"/>
          <w:szCs w:val="18"/>
          <w:lang w:val="en-US"/>
        </w:rPr>
        <w:t xml:space="preserve"/>
      </w:r>
      <w:r>
        <w:rPr>
          <w:rFonts w:eastAsia="Constantia" w:cs="Segoe UI"/>
          <w:sz w:val="20"/>
          <w:szCs w:val="20"/>
          <w:lang w:val="en-US"/>
        </w:rPr>
        <w:t>Kedudukan Norma dan Implikasinya terhadap Perkawinan Beda Agama</w:t>
      </w:r>
    </w:p>
    <w:tbl>
      <w:tblPr>
        <w:tblW w:w="0" w:type="auto"/>
        <w:jc w:val="center"/>
        <w:tblCellMar>
          <w:top w:w="30" w:type="dxa"/>
          <w:left w:w="60" w:type="dxa"/>
          <w:bottom w:w="30" w:type="dxa"/>
          <w:right w:w="60" w:type="dxa"/>
        </w:tblCellMar>
        <w:tblLook w:val="04A0" w:firstRow="1" w:lastRow="0" w:firstColumn="1" w:lastColumn="0" w:noHBand="0" w:noVBand="1"/>
      </w:tblPr>
      <w:tblGrid>
        <w:gridCol w:w="1700"/>
        <w:gridCol w:w="2500"/>
        <w:gridCol w:w="3100"/>
      </w:tblGrid>
      <w:tr>
        <w:trPr>
          <w:cantSplit/>
          <w:tblHeader/>
          <w:jc w:val="center"/>
        </w:trPr>
        <w:tc>
          <w:tcPr>
            <w:tcW w:w="17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Instrumen Hukum</w:t>
            </w:r>
          </w:p>
        </w:tc>
        <w:tc>
          <w:tcPr>
            <w:tcW w:w="2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Ketentuan Pokok</w:t>
            </w:r>
          </w:p>
        </w:tc>
        <w:tc>
          <w:tcPr>
            <w:tcW w:w="31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Implikasi terhadap Perkawinan Beda Agama</w:t>
            </w:r>
          </w:p>
        </w:tc>
      </w:tr>
      <w:tr>
        <w:trPr>
          <w:cantSplit/>
          <w:jc w:val="center"/>
        </w:trPr>
        <w:tc>
          <w:tcPr>
            <w:tcW w:w="17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UUD NRI 1945</w:t>
            </w:r>
          </w:p>
        </w:tc>
        <w:tc>
          <w:tcPr>
            <w:tcW w:w="25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28B ayat (1), Pasal 28E ayat (1), Pasal 29 ayat (2), Pasal 28J ayat (2)</w:t>
            </w:r>
          </w:p>
        </w:tc>
        <w:tc>
          <w:tcPr>
            <w:tcW w:w="31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Menjamin hak membentuk keluarga dan kebebasan beragama; pembatasan hak hanya boleh ditetapkan dengan undang-undang</w:t>
            </w:r>
          </w:p>
        </w:tc>
      </w:tr>
      <w:tr>
        <w:trPr>
          <w:cantSplit/>
          <w:jc w:val="center"/>
        </w:trPr>
        <w:tc>
          <w:tcPr>
            <w:tcW w:w="17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UU No. 39 Tahun 1999</w:t>
            </w:r>
          </w:p>
        </w:tc>
        <w:tc>
          <w:tcPr>
            <w:tcW w:w="25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3 ayat (3), Pasal 10 ayat (1) dan ayat (2), Pasal 22</w:t>
            </w:r>
          </w:p>
        </w:tc>
        <w:tc>
          <w:tcPr>
            <w:tcW w:w="31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Menempatkan kehendak bebas sebagai syarat pokok perkawinan yang sah dan melarang diskriminasi berbasis agama</w:t>
            </w:r>
          </w:p>
        </w:tc>
      </w:tr>
      <w:tr>
        <w:trPr>
          <w:cantSplit/>
          <w:jc w:val="center"/>
        </w:trPr>
        <w:tc>
          <w:tcPr>
            <w:tcW w:w="17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UU No. 1 Tahun 1974 jo. UU No. 16 Tahun 2019</w:t>
            </w:r>
          </w:p>
        </w:tc>
        <w:tc>
          <w:tcPr>
            <w:tcW w:w="25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2 ayat (1) dan ayat (2), Pasal 8 huruf f, Pasal 56, Pasal 57, Pasal 66</w:t>
            </w:r>
          </w:p>
        </w:tc>
        <w:tc>
          <w:tcPr>
            <w:tcW w:w="31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Keabsahan digantungkan pada hukum agama; perkawinan campuran dibatasi pada beda kewarganegaraan; perkawinan beda agama tidak diatur</w:t>
            </w:r>
          </w:p>
        </w:tc>
      </w:tr>
      <w:tr>
        <w:trPr>
          <w:cantSplit/>
          <w:jc w:val="center"/>
        </w:trPr>
        <w:tc>
          <w:tcPr>
            <w:tcW w:w="17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UU No. 23 Tahun 2006 jo. UU No. 24 Tahun 2013</w:t>
            </w:r>
          </w:p>
        </w:tc>
        <w:tc>
          <w:tcPr>
            <w:tcW w:w="25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34 dan Pasal 35 huruf a beserta penjelasannya</w:t>
            </w:r>
          </w:p>
        </w:tc>
        <w:tc>
          <w:tcPr>
            <w:tcW w:w="31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Membuka pencatatan perkawinan yang ditetapkan pengadilan dan menjadi dasar dikabulkannya permohonan sebelum tahun 2023</w:t>
            </w:r>
          </w:p>
        </w:tc>
      </w:tr>
      <w:tr>
        <w:trPr>
          <w:cantSplit/>
          <w:jc w:val="center"/>
        </w:trPr>
        <w:tc>
          <w:tcPr>
            <w:tcW w:w="17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SEMA No. 2 Tahun 2023</w:t>
            </w:r>
          </w:p>
        </w:tc>
        <w:tc>
          <w:tcPr>
            <w:tcW w:w="25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Butir 1 dan butir 2 petunjuk bagi hakim</w:t>
            </w:r>
          </w:p>
        </w:tc>
        <w:tc>
          <w:tcPr>
            <w:tcW w:w="31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Menegaskan Pasal 2 ayat (1) dan Pasal 8 huruf f serta memerintahkan pengadilan tidak mengabulkan permohonan pencatatan</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dari bahan hukum primer (2026)</w:t>
      </w:r>
    </w:p>
    <w:p w14:paraId="554F5361" w14:textId="5C7D14CE" w:rsidR="001C62FB" w:rsidRPr="00955050" w:rsidRDefault="001C62FB" w:rsidP="00955050">
      <w:pPr>
        <w:pStyle w:val="Heading2"/>
        <w:ind w:right="322"/>
        <w:rPr>
          <w:rStyle w:val="mediumtext"/>
        </w:rPr>
      </w:pPr>
      <w:r>
        <w:rPr>
          <w:rStyle w:val="mediumtext"/>
        </w:rPr>
        <w:t xml:space="preserve">3.2 Kedudukan dan Implikasi Hukum SEMA Nomor 2 Tahun 2023</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Surat Edaran Mahkamah Agung Nomor 2 Tahun 2023 memuat dua butir petunjuk. Butir pertama menegaskan bahwa perkawinan yang sah adalah perkawinan yang dilakukan menurut hukum masing-masing agama dan kepercayaannya, sesuai dengan Pasal 2 ayat (1) dan Pasal 8 huruf f Undang-Undang Perkawinan. Butir kedua memerintahkan pengadilan untuk tidak mengabulkan permohonan pencatatan perkawinan beda agama. Tujuannya adalah keselarasan dan kepastian hukum dalam mengadili permohonan sejenis, mengingat sebelumnya terdapat disparitas penetapan antarpengadilan negeri (Kharisma, 2023; Hassan &amp; Mesraini, 2025).</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yuridis, keberadaan surat edaran tersebut diakui dan memiliki kekuatan mengikat dengan bersandar pada Pasal 8 ayat (1) Undang-Undang Nomor 12 Tahun 2011 dan Pasal 79 Undang-Undang Mahkamah Agung. Akan tetapi, keterikatan itu bersifat internal, yakni mengikat hakim dalam lingkungan peradilan, dan tidak secara langsung mengikat masyarakat luas (Santoso dkk., 2023). Konsekuensinya bersifat menentukan: surat edaran tersebut menjadi penafsir Pasal 2 ayat (1) Undang-Undang Perkawinan, tetapi kekuatan hukumnya tidak melampaui undang-undang dan ia tidak termasuk dalam jenis peraturan perundang-undangan sebagaimana dimaksud Pasal 7 ayat (1) Undang-Undang Nomor 12 Tahun 2011.</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Persoalan menjadi nyata ketika petunjuk tersebut diperhadapkan dengan Pasal 35 huruf a Undang-Undang Administrasi Kependudukan, yang justru menjadi dasar hukum dikabulkannya sebagian besar permohonan sebelum tahun 2023. Berdasarkan asas lex superior derogat legi inferiori, ketentuan undang-undang tersebut harus diutamakan daripada surat edaran karena kedudukannya dalam hierarki peraturan perundang-undangan lebih tinggi. Jika dikaitkan dengan syarat internal norma yang dikemukakan Ismail (2007), keadaan ini memperlihatkan terpenuhinya kejelasan konsep, tetapi tidak terpenuhinya kejelasan hierarki dan konsistensi antarnorma. Hal yang sama terbaca melalui asas-asas Fuller (1964) yang melarang adanya pertentangan antarperaturan. Dengan demikian, konflik norma tersebut tidak terselesaikan oleh surat edaran, melainkan hanya ditutup pada tataran praktik peradilan.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Diuji dengan empat aspek kepastian hukum Radbruch sebagaimana diuraikan Rahardjo (2012), hasilnya bersifat berlapis dan disajikan pada Tabel 2. Aspek hukum sebagai hukum positif hanya terpenuhi sebagian, karena SEMA Nomor 2 Tahun 2023 memang merupakan aturan tertulis yang resmi dan dapat diberlakukan, tetapi mengandung pertentangan norma dalam pemberlakuannya. Aspek hukum yang didasarkan pada fakta terpenuhi, sebab isi surat edaran sejalan dengan realitas sosial berupa disparitas penetapan pengadilan dan sikap sebagian besar agama. Aspek kejelasan rumusan juga terpenuhi karena kedua butirnya dirumuskan tanpa ambiguitas. Sebaliknya, aspek hukum positif tidak boleh mudah diubah tidak terpenuhi, karena bentuk surat edaran secara inheren lebih lentur dan lebih rentan diubah daripada undang-undang.</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2. </w:t>
      </w:r>
      <w:r>
        <w:rPr>
          <w:rFonts w:eastAsia="Constantia" w:cs="Segoe UI"/>
          <w:sz w:val="18"/>
          <w:szCs w:val="18"/>
          <w:lang w:val="en-US"/>
        </w:rPr>
        <w:t xml:space="preserve"/>
      </w:r>
      <w:r>
        <w:rPr>
          <w:rFonts w:eastAsia="Constantia" w:cs="Segoe UI"/>
          <w:sz w:val="20"/>
          <w:szCs w:val="20"/>
          <w:lang w:val="en-US"/>
        </w:rPr>
        <w:t>Pengujian SEMA Nomor 2 Tahun 2023 terhadap Aspek Kepastian Hukum Gustav Radbruch</w:t>
      </w:r>
    </w:p>
    <w:tbl>
      <w:tblPr>
        <w:tblW w:w="0" w:type="auto"/>
        <w:jc w:val="center"/>
        <w:tblCellMar>
          <w:top w:w="30" w:type="dxa"/>
          <w:left w:w="60" w:type="dxa"/>
          <w:bottom w:w="30" w:type="dxa"/>
          <w:right w:w="60" w:type="dxa"/>
        </w:tblCellMar>
        <w:tblLook w:val="04A0" w:firstRow="1" w:lastRow="0" w:firstColumn="1" w:lastColumn="0" w:noHBand="0" w:noVBand="1"/>
      </w:tblPr>
      <w:tblGrid>
        <w:gridCol w:w="2000"/>
        <w:gridCol w:w="3800"/>
        <w:gridCol w:w="1500"/>
      </w:tblGrid>
      <w:tr>
        <w:trPr>
          <w:cantSplit/>
          <w:tblHeader/>
          <w:jc w:val="center"/>
        </w:trPr>
        <w:tc>
          <w:tcPr>
            <w:tcW w:w="20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Aspek Kepastian Hukum</w:t>
            </w:r>
          </w:p>
        </w:tc>
        <w:tc>
          <w:tcPr>
            <w:tcW w:w="3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Kondisi pada SEMA No. 2 Tahun 2023</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Status Pemenuhan</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Hukum merupakan hukum positif</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Merupakan aturan tertulis yang resmi dan dapat diberlakukan, namun mengandung konflik norma dengan Pasal 35 huruf a UU Administrasi Kependudukan</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 sebagian</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Hukum didasarkan pada fakta</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Sejalan dengan disparitas penetapan pengadilan negeri dan realitas sosial keagamaan di Indonesia</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Fakta dirumuskan secara jelas</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Kedua butir petunjuk dirumuskan tanpa ambiguitas sehingga tidak menimbulkan multitafsir bagi hakim</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Hukum positif tidak mudah diubah</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Berbentuk surat edaran yang secara inheren lebih lentur dan rentan diubah dibandingkan undang-undang</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Tidak terpenuhi</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dari SEMA Nomor 2 Tahun 2023 dan Rahardjo (2012)</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Temuan tersebut memperlihatkan bahwa kepastian hukum yang dihasilkan SEMA Nomor 2 Tahun 2023 bersifat parsial dan rapuh. Kepastian yang dicapai adalah kepastian dalam arti keseragaman putusan hakim, bukan kepastian dalam arti kejelasan kedudukan hukum warga negara. Jika dikaitkan dengan pandangan Sudikno Mertokusumo yang memaknai kepastian hukum sebagai jaminan agar hukum berjalan sesuai bunyinya (Marzuki, 2008), maka yang terjadi justru sebaliknya, sebab norma undang-undang yang lebih tinggi kehilangan daya kerjanya di hadapan sebuah surat edaran. Penilaian serupa dikemukakan Fenecia dkk. (2024) dan Harahap dkk. (2024) yang menunjukkan bahwa persoalan kepastian hukum tidak selesai dengan terbitnya surat edaran.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Implikasi praktisnya dapat diperkirakan secara wajar dari pola yang telah berlangsung sejak sebelum tahun 2023. Tertutupnya pintu penetapan pengadilan tidak menghapus kebutuhan hukum pasangan beda agama, melainkan mengalihkannya kembali kepada cara-cara yang telah dikenal sebelumnya, yaitu perkawinan di luar negeri yang kemudian dicatatkan berdasarkan Pasal 56 Undang-Undang Perkawinan, penundukan sementara pada salah satu hukum agama, atau perpindahan agama yang bersifat sementara (Darmabrata, 2003; Amri, 2020). Secara yuridis, kondisi tersebut memindahkan persoalan dari ruang sidang ke ruang administrasi tanpa menyelesaikan akar persoalannya, dan pada saat yang sama menimbulkan risiko baru berupa ketidakjelasan status hukum anak dan harta bersama sebagaimana dikhawatirkan dalam Pasal 42 dan Pasal 43 ayat (1) Undang-Undang Perkawinan.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Menurut analisis penulis, sumber persoalan sesungguhnya tidak terletak pada substansi petunjuk Mahkamah Agung, melainkan pada penggunaan instrumen yang tidak setara dengan bobot persoalan yang hendak diselesaikannya. Mahkamah Agung, sebagai pemegang kekuasaan kehakiman, bertindak dalam batas kewenangannya ketika menyeragamkan penerapan hukum bagi hakim. Yang tidak dapat dilakukannya adalah mengisi kekosongan norma yang sejak semula merupakan tugas pembentuk undang-undang. Selama kekosongan itu tidak diisi dengan undang-undang, setiap penyeragaman hanya akan bersifat sementara, dan ketegangan antara Pasal 2 ayat (1) Undang-Undang Perkawinan, Pasal 10 Undang-Undang Hak Asasi Manusia, dan Pasal 35 huruf a Undang-Undang Administrasi Kependudukan akan terus berulang dalam bentuk perkara yang baru.</w:t>
      </w:r>
    </w:p>
    <w:p w14:paraId="17E3A12B" w14:textId="5E31EBBF" w:rsidR="001E0508" w:rsidRPr="00EA7E75" w:rsidRDefault="00985560" w:rsidP="00985560">
      <w:pPr>
        <w:pStyle w:val="Heading3"/>
        <w:ind w:left="993" w:hanging="426"/>
      </w:pPr>
      <w:r>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hasil penelitian dan pembahasan, dapat disimpulkan bahwa tidak diaturnya perkawinan beda agama dalam Undang-Undang Nomor 1 Tahun 1974 juncto Undang-Undang Nomor 16 Tahun 2019 telah menimbulkan kekosongan hukum dan ketidakpastian hukum. Pembentuk undang-undang tidak menghendaki perkawinan beda agama, tetapi juga tidak melarangnya secara tegas, melainkan menyerahkan penilaian keabsahannya kepada hukum masing-masing agama dan kepercayaan. Dari perspektif hak asasi manusia, penolakan pengakuan dan pencatatan perkawinan semata-mata karena perbedaan agama merupakan pembatasan yang didasarkan atas agama dan karenanya bersifat diskriminatif, sebab Pasal 28B ayat (1) Undang-Undang Dasar 1945 dan Pasal 10 Undang-Undang Nomor 39 Tahun 1999 menempatkan perkawinan sebagai hak dasar yang syarat pokoknya adalah kehendak bebas kedua pihak, sementara pembatasan atas hak tersebut menurut Pasal 28J ayat (2) hanya boleh ditetapkan dengan undang-undang.</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Terhadap rumusan masalah kedua, Surat Edaran Mahkamah Agung Nomor 2 Tahun 2023 secara yuridis diakui keberadaannya dan memiliki kekuatan mengikat berdasarkan Pasal 8 ayat (1) Undang-Undang Nomor 12 Tahun 2011 dan Pasal 79 Undang-Undang Mahkamah Agung, tetapi keterikatannya bersifat internal pengadilan dan tidak termasuk dalam hierarki peraturan perundang-undangan menurut Pasal 7 ayat (1) undang-undang yang sama. Karena itu, dalam hal terjadi pertentangan dengan Pasal 35 huruf a Undang-Undang Administrasi Kependudukan, ketentuan undang-undang tersebut harus diutamakan berdasarkan asas lex superior derogat legi inferiori. Diuji dengan empat aspek kepastian hukum Gustav Radbruch, surat edaran tersebut memenuhi aspek hukum yang didasarkan pada fakta dan aspek kejelasan rumusan, memenuhi sebagian aspek hukum positif karena adanya konflik norma, dan tidak memenuhi aspek hukum positif yang tidak mudah diubah. Kepastian hukum yang dihasilkannya karena itu bersifat parsial, yaitu kepastian dalam penerapan hukum oleh hakim, bukan kepastian mengenai kedudukan hukum warga negara.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kesimpulan tersebut, disarankan agar Pemerintah bersama Dewan Perwakilan Rakyat menyusun pengaturan setingkat undang-undang yang secara tegas menentukan boleh atau tidaknya perkawinan beda agama dilangsungkan dan dicatatkan, baik melalui perubahan atas Undang-Undang Perkawinan maupun melalui undang-undang tersendiri, sekaligus mengharmonisasikan Pasal 2 ayat (1) Undang-Undang Perkawinan dengan Pasal 10 Undang-Undang Hak Asasi Manusia dan Pasal 35 huruf a Undang-Undang Administrasi Kependudukan. Selama pengaturan tersebut belum ada, Mahkamah Agung perlu menempatkan Surat Edaran Nomor 2 Tahun 2023 secara konsisten sebagai pedoman internal penerapan hukum, bukan sebagai norma yang menutup akses warga negara terhadap pencatatan peristiwa penting, sedangkan instansi pencatatan sipil perlu memperoleh pedoman administratif yang jelas agar kepastian status hukum anak dan harta bersama dari perkawinan yang telah berlangsung tetap terlindungi.</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Ali, M. D. (1990). </w:t>
      </w:r>
      <w:r>
        <w:rPr>
          <w:rFonts w:cs="Segoe UI"/>
          <w:noProof/>
          <w:i/>
          <w:iCs/>
        </w:rPr>
        <w:t xml:space="preserve">Azas-azas hukum Islam</w:t>
      </w:r>
      <w:r>
        <w:rPr>
          <w:rFonts w:cs="Segoe UI"/>
          <w:noProof/>
        </w:rPr>
        <w:t xml:space="preserve">. Rajawali Pers.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Amri, A. (2020). Perkawinan beda agama menurut hukum positif dan hukum Islam. </w:t>
      </w:r>
      <w:r>
        <w:rPr>
          <w:rFonts w:cs="Segoe UI"/>
          <w:noProof/>
          <w:i/>
          <w:iCs/>
        </w:rPr>
        <w:t xml:space="preserve">Media Syari'ah, 22</w:t>
      </w:r>
      <w:r>
        <w:rPr>
          <w:rFonts w:cs="Segoe UI"/>
          <w:noProof/>
        </w:rPr>
        <w:t xml:space="preserve">(1), 48-63. https://doi.org/10.22373/jms.v22i1.6719</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Asmin. (1986). </w:t>
      </w:r>
      <w:r>
        <w:rPr>
          <w:rFonts w:cs="Segoe UI"/>
          <w:noProof/>
          <w:i/>
          <w:iCs/>
        </w:rPr>
        <w:t xml:space="preserve">Status perkawinan antar agama ditinjau dari Undang-Undang Perkawinan No. 1/1974</w:t>
      </w:r>
      <w:r>
        <w:rPr>
          <w:rFonts w:cs="Segoe UI"/>
          <w:noProof/>
        </w:rPr>
        <w:t xml:space="preserve">. PT Dian Rakyat.</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Darmabrata, W. (2003). </w:t>
      </w:r>
      <w:r>
        <w:rPr>
          <w:rFonts w:cs="Segoe UI"/>
          <w:noProof/>
          <w:i/>
          <w:iCs/>
        </w:rPr>
        <w:t xml:space="preserve">Tinjauan Undang-Undang Nomor 1 Tahun 1974 tentang Perkawinan beserta undang-undang dan peraturan pelaksanaannya</w:t>
      </w:r>
      <w:r>
        <w:rPr>
          <w:rFonts w:cs="Segoe UI"/>
          <w:noProof/>
        </w:rPr>
        <w:t xml:space="preserve">. CV Gitama Jaya.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Darmabrata, W., &amp; Sjarif, S. A. (2004). </w:t>
      </w:r>
      <w:r>
        <w:rPr>
          <w:rFonts w:cs="Segoe UI"/>
          <w:noProof/>
          <w:i/>
          <w:iCs/>
        </w:rPr>
        <w:t xml:space="preserve">Hukum perkawinan dan keluarga di Indonesia</w:t>
      </w:r>
      <w:r>
        <w:rPr>
          <w:rFonts w:cs="Segoe UI"/>
          <w:noProof/>
        </w:rPr>
        <w:t xml:space="preserve"> (Ed. 1, Cet. 2). Badan Penerbit Fakultas Hukum Universitas Indonesia.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Fenecia, E., Agustini, S., &amp; Fitri, W. (2024). Kepastian hukum SEMA Nomor 2 Tahun 2023 terhadap pencatatan perkawinan antar-agama dalam bingkai kebhinnekaan Indonesia. </w:t>
      </w:r>
      <w:r>
        <w:rPr>
          <w:rFonts w:cs="Segoe UI"/>
          <w:noProof/>
          <w:i/>
          <w:iCs/>
        </w:rPr>
        <w:t xml:space="preserve">Pamali: Pattimura Magister Law Review, 4</w:t>
      </w:r>
      <w:r>
        <w:rPr>
          <w:rFonts w:cs="Segoe UI"/>
          <w:noProof/>
        </w:rPr>
        <w:t xml:space="preserve">(2), 128-140. https://doi.org/10.47268/pamali.v4i2.2192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Fuller, L. L. (1964). </w:t>
      </w:r>
      <w:r>
        <w:rPr>
          <w:rFonts w:cs="Segoe UI"/>
          <w:noProof/>
          <w:i/>
          <w:iCs/>
        </w:rPr>
        <w:t xml:space="preserve">The morality of law</w:t>
      </w:r>
      <w:r>
        <w:rPr>
          <w:rFonts w:cs="Segoe UI"/>
          <w:noProof/>
        </w:rPr>
        <w:t xml:space="preserve">. Yale University Press.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Gautama, S. (1980). </w:t>
      </w:r>
      <w:r>
        <w:rPr>
          <w:rFonts w:cs="Segoe UI"/>
          <w:noProof/>
          <w:i/>
          <w:iCs/>
        </w:rPr>
        <w:t xml:space="preserve">Hukum antar golongan: Suatu pengantar</w:t>
      </w:r>
      <w:r>
        <w:rPr>
          <w:rFonts w:cs="Segoe UI"/>
          <w:noProof/>
        </w:rPr>
        <w:t xml:space="preserve"> (Cet. 5). Ichtiar Baru-Van Hoeve.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Harahap, S. A., Prihatinah, T. L., &amp; Faradz, H. (2024). Penetapan pencatatan perkawinan beda agama pasca Surat Edaran Mahkamah Agung Nomor 2 Tahun 2023: Tinjauan yuridis terhadap penetapan Pengadilan Negeri Jakarta Utara Nomor 423/Pdt.P/2023/PN.Jkt.Utr. </w:t>
      </w:r>
      <w:r>
        <w:rPr>
          <w:rFonts w:cs="Segoe UI"/>
          <w:noProof/>
          <w:i/>
          <w:iCs/>
        </w:rPr>
        <w:t xml:space="preserve">Soedirman Law Review, 6</w:t>
      </w:r>
      <w:r>
        <w:rPr>
          <w:rFonts w:cs="Segoe UI"/>
          <w:noProof/>
        </w:rPr>
        <w:t xml:space="preserve">(2), 133-143. https://doi.org/10.20884/1.slr.2024.6.2.16070</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Hassan, M., &amp; Mesraini. (2025). Diskresi hakim sebagai ruang interpretasi dalam perkara perkawinan beda agama. </w:t>
      </w:r>
      <w:r>
        <w:rPr>
          <w:rFonts w:cs="Segoe UI"/>
          <w:noProof/>
          <w:i/>
          <w:iCs/>
        </w:rPr>
        <w:t xml:space="preserve">Jurnal Riset Hukum Keluarga Islam, 5</w:t>
      </w:r>
      <w:r>
        <w:rPr>
          <w:rFonts w:cs="Segoe UI"/>
          <w:noProof/>
        </w:rPr>
        <w:t xml:space="preserve">(2), 161-170. https://doi.org/10.29313/jrhki.v5i2.8570</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Hazairin. (1986). </w:t>
      </w:r>
      <w:r>
        <w:rPr>
          <w:rFonts w:cs="Segoe UI"/>
          <w:noProof/>
          <w:i/>
          <w:iCs/>
        </w:rPr>
        <w:t xml:space="preserve">Tinjauan mengenai Undang-Undang Perkawinan Nomor 1 Tahun 1974</w:t>
      </w:r>
      <w:r>
        <w:rPr>
          <w:rFonts w:cs="Segoe UI"/>
          <w:noProof/>
        </w:rPr>
        <w:t xml:space="preserve">. Tintamas.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Ichtiyanto. (2003). </w:t>
      </w:r>
      <w:r>
        <w:rPr>
          <w:rFonts w:cs="Segoe UI"/>
          <w:noProof/>
          <w:i/>
          <w:iCs/>
        </w:rPr>
        <w:t xml:space="preserve">Perkawinan campuran dalam negara Republik Indonesia</w:t>
      </w:r>
      <w:r>
        <w:rPr>
          <w:rFonts w:cs="Segoe UI"/>
          <w:noProof/>
        </w:rPr>
        <w:t xml:space="preserve">. Badan Litbang Agama dan Diklat Keagamaan Departemen Agama Republik Indonesia.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Ismail, N. H. (2007). </w:t>
      </w:r>
      <w:r>
        <w:rPr>
          <w:rFonts w:cs="Segoe UI"/>
          <w:noProof/>
          <w:i/>
          <w:iCs/>
        </w:rPr>
        <w:t xml:space="preserve">Perkembangan hukum pertanahan: Pendekatan ekonomi-politik</w:t>
      </w:r>
      <w:r>
        <w:rPr>
          <w:rFonts w:cs="Segoe UI"/>
          <w:noProof/>
        </w:rPr>
        <w:t xml:space="preserve">. HUMA &amp; Magister Hukum Universitas Gadjah Mada.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Kharisma, B. U. (2023). Surat Edaran Mahkamah Agung (SEMA) Nomor 2 Tahun 2023: Akhir dari polemik perkawinan beda agama? </w:t>
      </w:r>
      <w:r>
        <w:rPr>
          <w:rFonts w:cs="Segoe UI"/>
          <w:noProof/>
          <w:i/>
          <w:iCs/>
        </w:rPr>
        <w:t xml:space="preserve">Journal of Scientech Research and Development, 5</w:t>
      </w:r>
      <w:r>
        <w:rPr>
          <w:rFonts w:cs="Segoe UI"/>
          <w:noProof/>
        </w:rPr>
        <w:t xml:space="preserve">(1), 477-482. https://doi.org/10.56670/jsrd.v5i1.164</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Mahkamah Agung Republik Indonesia. (2023). </w:t>
      </w:r>
      <w:r>
        <w:rPr>
          <w:rFonts w:cs="Segoe UI"/>
          <w:noProof/>
          <w:i/>
          <w:iCs/>
        </w:rPr>
        <w:t xml:space="preserve">Surat Edaran Mahkamah Agung Nomor 2 Tahun 2023 tentang Petunjuk bagi Hakim dalam Mengadili Perkara Permohonan Pencatatan Perkawinan Antar-Umat yang Berbeda Agama dan Kepercayaan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(2008). </w:t>
      </w:r>
      <w:r>
        <w:rPr>
          <w:rFonts w:cs="Segoe UI"/>
          <w:noProof/>
          <w:i/>
          <w:iCs/>
        </w:rPr>
        <w:t xml:space="preserve">Pengantar ilmu hukum</w:t>
      </w:r>
      <w:r>
        <w:rPr>
          <w:rFonts w:cs="Segoe UI"/>
          <w:noProof/>
        </w:rPr>
        <w:t xml:space="preserve">. Kencana.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Nurcholish, A. (2004). </w:t>
      </w:r>
      <w:r>
        <w:rPr>
          <w:rFonts w:cs="Segoe UI"/>
          <w:noProof/>
          <w:i/>
          <w:iCs/>
        </w:rPr>
        <w:t xml:space="preserve">Memoar cintaku: Pengalaman empiris pernikahan beda agama</w:t>
      </w:r>
      <w:r>
        <w:rPr>
          <w:rFonts w:cs="Segoe UI"/>
          <w:noProof/>
        </w:rPr>
        <w:t xml:space="preserve"> (Cet. 1). LKiS Pelangi Aksara.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Prawirohamidjojo, R. S. (1988). </w:t>
      </w:r>
      <w:r>
        <w:rPr>
          <w:rFonts w:cs="Segoe UI"/>
          <w:noProof/>
          <w:i/>
          <w:iCs/>
        </w:rPr>
        <w:t xml:space="preserve">Pluralisme dalam perundang-undangan perkawinan di Indonesia</w:t>
      </w:r>
      <w:r>
        <w:rPr>
          <w:rFonts w:cs="Segoe UI"/>
          <w:noProof/>
        </w:rPr>
        <w:t xml:space="preserve">. Airlangga University Press.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Prodjodikoro, R. W. (1998). </w:t>
      </w:r>
      <w:r>
        <w:rPr>
          <w:rFonts w:cs="Segoe UI"/>
          <w:noProof/>
          <w:i/>
          <w:iCs/>
        </w:rPr>
        <w:t xml:space="preserve">Hukum antar golongan di Indonesia</w:t>
      </w:r>
      <w:r>
        <w:rPr>
          <w:rFonts w:cs="Segoe UI"/>
          <w:noProof/>
        </w:rPr>
        <w:t xml:space="preserve"> (Cet. 7). Sumur Bandung.</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Rahardjo, S. (2012). </w:t>
      </w:r>
      <w:r>
        <w:rPr>
          <w:rFonts w:cs="Segoe UI"/>
          <w:noProof/>
          <w:i/>
          <w:iCs/>
        </w:rPr>
        <w:t xml:space="preserve">Ilmu hukum</w:t>
      </w:r>
      <w:r>
        <w:rPr>
          <w:rFonts w:cs="Segoe UI"/>
          <w:noProof/>
        </w:rPr>
        <w:t xml:space="preserve">. Citra Aditya Bakti.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(1945). </w:t>
      </w:r>
      <w:r>
        <w:rPr>
          <w:rFonts w:cs="Segoe UI"/>
          <w:noProof/>
          <w:i/>
          <w:iCs/>
        </w:rPr>
        <w:t xml:space="preserve">Undang-Undang Dasar Negara Republik Indonesia Tahun 1945</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(1974). </w:t>
      </w:r>
      <w:r>
        <w:rPr>
          <w:rFonts w:cs="Segoe UI"/>
          <w:noProof/>
          <w:i/>
          <w:iCs/>
        </w:rPr>
        <w:t xml:space="preserve">Undang-Undang Nomor 1 Tahun 1974 tentang Perkawinan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(1975). </w:t>
      </w:r>
      <w:r>
        <w:rPr>
          <w:rFonts w:cs="Segoe UI"/>
          <w:noProof/>
          <w:i/>
          <w:iCs/>
        </w:rPr>
        <w:t xml:space="preserve">Peraturan Pemerintah Nomor 9 Tahun 1975 tentang Pelaksanaan Undang-Undang Nomor 1 Tahun 1974 tentang Perkawinan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(1999). </w:t>
      </w:r>
      <w:r>
        <w:rPr>
          <w:rFonts w:cs="Segoe UI"/>
          <w:noProof/>
          <w:i/>
          <w:iCs/>
        </w:rPr>
        <w:t xml:space="preserve">Undang-Undang Nomor 39 Tahun 1999 tentang Hak Asasi Manusia</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(2006). </w:t>
      </w:r>
      <w:r>
        <w:rPr>
          <w:rFonts w:cs="Segoe UI"/>
          <w:noProof/>
          <w:i/>
          <w:iCs/>
        </w:rPr>
        <w:t xml:space="preserve">Undang-Undang Nomor 23 Tahun 2006 tentang Administrasi Kependudukan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(2011). </w:t>
      </w:r>
      <w:r>
        <w:rPr>
          <w:rFonts w:cs="Segoe UI"/>
          <w:noProof/>
          <w:i/>
          <w:iCs/>
        </w:rPr>
        <w:t xml:space="preserve">Undang-Undang Nomor 12 Tahun 2011 tentang Pembentukan Peraturan Perundang-undangan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(2013). </w:t>
      </w:r>
      <w:r>
        <w:rPr>
          <w:rFonts w:cs="Segoe UI"/>
          <w:noProof/>
          <w:i/>
          <w:iCs/>
        </w:rPr>
        <w:t xml:space="preserve">Undang-Undang Nomor 24 Tahun 2013 tentang Perubahan atas Undang-Undang Nomor 23 Tahun 2006 tentang Administrasi Kependudukan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(2019). </w:t>
      </w:r>
      <w:r>
        <w:rPr>
          <w:rFonts w:cs="Segoe UI"/>
          <w:noProof/>
          <w:i/>
          <w:iCs/>
        </w:rPr>
        <w:t xml:space="preserve">Undang-Undang Nomor 16 Tahun 2019 tentang Perubahan atas Undang-Undang Nomor 1 Tahun 1974 tentang Perkawinan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Rusli, &amp; Tama, R. (1984). </w:t>
      </w:r>
      <w:r>
        <w:rPr>
          <w:rFonts w:cs="Segoe UI"/>
          <w:noProof/>
          <w:i/>
          <w:iCs/>
        </w:rPr>
        <w:t xml:space="preserve">Perkawinan antar agama dan masalahnya</w:t>
      </w:r>
      <w:r>
        <w:rPr>
          <w:rFonts w:cs="Segoe UI"/>
          <w:noProof/>
        </w:rPr>
        <w:t xml:space="preserve">. Shantika Dharma.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Santoso, R. A., Jaelani, E., &amp; Rosidin, U. (2023). Kedudukan dan kekuatan hukum Surat Edaran Mahkamah Agung (SEMA) dalam hukum positif Indonesia. </w:t>
      </w:r>
      <w:r>
        <w:rPr>
          <w:rFonts w:cs="Segoe UI"/>
          <w:noProof/>
          <w:i/>
          <w:iCs/>
        </w:rPr>
        <w:t xml:space="preserve">Deposisi: Jurnal Publikasi Ilmu Hukum, 1</w:t>
      </w:r>
      <w:r>
        <w:rPr>
          <w:rFonts w:cs="Segoe UI"/>
          <w:noProof/>
        </w:rPr>
        <w:t xml:space="preserve">(4), 7-15. https://doi.org/10.59581/deposisi.v1i4.1392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Subekti. (1987). </w:t>
      </w:r>
      <w:r>
        <w:rPr>
          <w:rFonts w:cs="Segoe UI"/>
          <w:noProof/>
          <w:i/>
          <w:iCs/>
        </w:rPr>
        <w:t xml:space="preserve">Pokok-pokok hukum perdata</w:t>
      </w:r>
      <w:r>
        <w:rPr>
          <w:rFonts w:cs="Segoe UI"/>
          <w:noProof/>
        </w:rPr>
        <w:t xml:space="preserve">. Intermasa.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Petrus Mangambe1*</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