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Implementasi Keadilan Restoratif dalam Penyelesaian Tindak Pidana Pencurian Pasca Undang-Undang Nomor 20 Tahun 2025</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Pristy Injilia Sarmaulina Saragih</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pristy@ukipaulus.ac.id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restorative justice, theft, diversion, investigation stage, legal certainty, juvenile criminal justice</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keadilan restoratif, tindak pidana pencurian, diversi, tahap penyidikan, kepastian hukum, peradilan pidana anak</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Restorative justice has long been applied at the investigation stage in theft cases, yet for years it rested only on institutional regulations rather than on statute. This study examines the regulation of restorative justice as an alternative to resolving theft offences and its implementation in practice, then reassesses both against the criminal procedure regime in force since January 2026. The research is normative legal research supported by primary and secondary materials, analysed descriptively and qualitatively. The findings show that reliance on Police Regulation Number 8 of 2021 left the stage of application undefined and gave no answer to the status of a peace agreement when the offender repeats the offence, so that practice depended on investigative discretion and produced disparity in similar cases. Implementation for child offenders proceeds through diversion under the juvenile justice law and is obstructed by internal and external factors. Reassessment shows that Articles 79 to 88 of Law Number 20 of 2025 have now supplied the statutory basis, the eligibility criteria, and judicial scrutiny that were previously absent. The study argues that the remaining obstacles are institutional and cultural rather than normative.</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Keadilan restoratif telah lama diterapkan pada tahap penyidikan perkara pencurian, namun selama bertahun-tahun hanya bersandar pada peraturan kelembagaan dan bukan pada undang-undang. Penelitian ini mengkaji pengaturan keadilan restoratif sebagai alternatif penyelesaian tindak pidana pencurian dan implementasinya dalam praktik, kemudian menilai kembali keduanya terhadap rezim hukum acara pidana yang berlaku sejak Januari 2026. Penelitian ini merupakan penelitian hukum normatif yang ditopang bahan primer dan sekunder, dianalisis secara deskriptif kualitatif. Hasil penelitian menunjukkan bahwa bertumpunya penyidik pada Peraturan Kepolisian Nomor 8 Tahun 2021 menyebabkan tahapan penerapan tidak terperinci dan kedudukan surat kesepakatan damai terhadap pelaku yang mengulangi perbuatannya tidak terjawab, sehingga praktik bergantung pada diskresi penyidik dan melahirkan disparitas pada perkara sejenis. Implementasi terhadap anak ditempuh melalui diversi berdasarkan undang-undang peradilan pidana anak dan terhambat oleh faktor internal maupun eksternal. Penilaian ulang memperlihatkan bahwa Pasal 79 sampai dengan Pasal 88 Undang-Undang Nomor 20 Tahun 2025 kini menyediakan dasar undang-undang, kriteria kelayakan, dan pengawasan pengadilan yang sebelumnya tidak ada. Penelitian ini berargumentasi bahwa hambatan yang tersisa bersifat kelembagaan dan kultural, bukan normatif.</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Sistem peradilan pidana Indonesia selama ini bekerja dengan bertumpu pada penjatuhan sanksi terhadap pelaku, sementara kerusakan dan kerugian yang ditimbulkan oleh kejahatan tidak selalu memperoleh penanganan yang memadai. Padahal suatu tindak pidana tidak semata-mata merupakan pelanggaran terhadap kepentingan negara, melainkan juga menimbulkan keretakan relasi antara dua individu atau lebih dalam masyarakat. Karena itu paradigma hukum pidana tidak dapat berhenti pada </w:t>
      </w:r>
      <w:r>
        <w:rPr>
          <w:rFonts w:ascii="Segoe UI" w:hAnsi="Segoe UI" w:cs="Segoe UI"/>
          <w:sz w:val="22"/>
          <w:szCs w:val="22"/>
          <w:i/>
          <w:iCs/>
        </w:rPr>
        <w:t xml:space="preserve">poena et poena</w:t>
      </w:r>
      <w:r>
        <w:rPr>
          <w:rFonts w:ascii="Segoe UI" w:hAnsi="Segoe UI" w:cs="Segoe UI"/>
          <w:sz w:val="22"/>
          <w:szCs w:val="22"/>
        </w:rPr>
        <w:t xml:space="preserve">, yaitu hukum sebagai sarana penghukuman, melainkan perlu bergerak menuju </w:t>
      </w:r>
      <w:r>
        <w:rPr>
          <w:rFonts w:ascii="Segoe UI" w:hAnsi="Segoe UI" w:cs="Segoe UI"/>
          <w:sz w:val="22"/>
          <w:szCs w:val="22"/>
          <w:i/>
          <w:iCs/>
        </w:rPr>
        <w:t xml:space="preserve">poena et medicine</w:t>
      </w:r>
      <w:r>
        <w:rPr>
          <w:rFonts w:ascii="Segoe UI" w:hAnsi="Segoe UI" w:cs="Segoe UI"/>
          <w:sz w:val="22"/>
          <w:szCs w:val="22"/>
        </w:rPr>
        <w:t xml:space="preserve">, yaitu hukum yang sekaligus memulihkan keadaan yang rusak akibat kejahatan (Zulfa, 2009).</w:t>
      </w:r>
    </w:p>
    <w:p>
      <w:pPr>
        <w:pStyle w:val="IEEEParagraph"/>
        <w:ind w:left="567" w:right="322" w:firstLine="567"/>
        <w:rPr>
          <w:rFonts w:ascii="Segoe UI" w:hAnsi="Segoe UI" w:cs="Segoe UI"/>
          <w:sz w:val="22"/>
          <w:szCs w:val="22"/>
        </w:rPr>
      </w:pPr>
      <w:r>
        <w:rPr>
          <w:rFonts w:ascii="Segoe UI" w:hAnsi="Segoe UI" w:cs="Segoe UI"/>
          <w:sz w:val="22"/>
          <w:szCs w:val="22"/>
        </w:rPr>
        <w:t xml:space="preserve">Kebutuhan akan pergeseran paradigma tersebut terlihat pada beban lembaga pemasyarakatan. Penyelesaian perkara yang terfokus pada pidana penjara menyebabkan jumlah penghuni lembaga pemasyarakatan tidak sebanding dengan kapasitasnya, sehingga pembinaan tidak berjalan maksimal, pengawasan menjadi sulit, kondisi psikologis narapidana maupun petugas memburuk, dan anggaran negara terserap lebih besar (Priyatno, 2013). Kondisi tersebut memperlihatkan bahwa pidana penjara bukan jawaban tunggal, terutama bagi tindak pidana yang kerugiannya bersifat individual dan masih memungkinkan dipulihkan.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Penempatan pidana penjara sebagai sarana utama penanggulangan kejahatan sesungguhnya merupakan pilihan kebijakan kriminal, bukan keharusan yang melekat pada hukum pidana itu sendiri, sehingga pilihan tersebut terbuka untuk dinilai kembali sesuai dengan tujuan yang hendak dicapai (Arief, 2009). Penilaian ulang itu menjadi relevan pada delik pencurian karena kepentingan hukum yang dilindunginya adalah harta benda (Chazawi, 2003), yaitu kepentingan yang berbeda sifatnya dari nyawa maupun martabat karena masih memungkinkan dipulihkan melalui pengembalian barang atau ganti kerugian. Dalam kerangka hukum pidana materiil, ancaman pidana memang melekat pada perbuatan yang dilarang, tetapi cara penyelesaian perkaranya ditentukan oleh hukum pidana formil (Marpaung, 2005), sehingga ruang bagi penyelesaian di luar pengadilan justru terbuka pada tataran hukum acara.</w:t>
      </w:r>
    </w:p>
    <w:p>
      <w:pPr>
        <w:pStyle w:val="IEEEParagraph"/>
        <w:ind w:left="567" w:right="322" w:firstLine="567"/>
        <w:rPr>
          <w:rFonts w:ascii="Segoe UI" w:hAnsi="Segoe UI" w:cs="Segoe UI"/>
          <w:sz w:val="22"/>
          <w:szCs w:val="22"/>
        </w:rPr>
      </w:pPr>
      <w:r>
        <w:rPr>
          <w:rFonts w:ascii="Segoe UI" w:hAnsi="Segoe UI" w:cs="Segoe UI"/>
          <w:sz w:val="22"/>
          <w:szCs w:val="22"/>
        </w:rPr>
        <w:t xml:space="preserve">Tindak pidana pencurian menempati posisi strategis dalam persoalan ini karena merupakan delik yang paling banyak dilaporkan masyarakat. Catatan Pusat Informasi Kriminal Nasional memperlihatkan bahwa pada awal berlakunya Kitab Undang-Undang Hukum Pidana yang baru, tindak pidana pencurian tetap mendominasi laporan kepolisian (Pusiknas Bareskrim Polri, 2026). Sebagian besar perkara tersebut menyangkut kerugian harta benda yang secara faktual dapat dipulihkan melalui ganti kerugian dan perdamaian, sehingga penyelesaian di luar pengadilan menjadi pilihan yang masuk akal.</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hukum muncul pada dasar keberlakuannya. Selama bertahun-tahun penyidik menerapkan keadilan restoratif dengan bertumpu pada Peraturan Kepolisian Nomor 8 Tahun 2021 tentang Penanganan Tindak Pidana Berdasarkan Keadilan Restoratif. Peraturan tersebut hanya menguraikan syarat umum, syarat khusus, syarat materiil, dan syarat formil, tanpa menjabarkan secara terperinci pada tahapan mana penyelesaian dapat dilakukan. Akibatnya penerapan bergantung pada kebiasaan dan diskresi penyidik, dan pertanyaan mendasar seperti kedudukan surat kesepakatan damai terhadap pelaku yang kemudian mengulangi perbuatannya tidak memperoleh jawaban normatif. Bagi perkara yang pelakunya anak, penyelesaian ditempuh melalui diversi berdasarkan Undang-Undang Nomor 11 Tahun 2012 tentang Sistem Peradilan Pidana Anak, yang memiliki mekanisme tersendiri.</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keadilan restoratif di Indonesia telah berkembang cukup lama. Zulfa (2009) menyusun kerangka konseptual keadilan restoratif, Purba (2017) menelaah penegakan hukum terhadap tindak pidana bermotif ringan melalui keadilan restoratif, Yusuf (2016) mengkaji implementasinya oleh kepolisian, Konoras (2023) menyoroti penghentian penyidikan dan penuntutan berbasis keadilan restoratif, Sinaga (2017) menelaah penegakan hukum melalui pendekatan diversi, dan Karim (2020) mengkaji karakteristik penyelesaian perkara tindak pidana ringan melalui keadilan restoratif. Kajian-kajian tersebut sangat berjasa membangun landasan konseptual, tetapi seluruhnya ditulis ketika keadilan restoratif belum memiliki pijakan pada tataran undang-undang.</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yang berhenti pada identifikasi ketiadaan dasar undang-undang, penelitian ini menempatkan temuan tersebut sebagai objek yang harus diuji ulang terhadap hukum yang berlaku sekarang. Sejak 2 Januari 2026 berlaku Undang-Undang Nomor 20 Tahun 2025 tentang Kitab Undang-Undang Hukum Acara Pidana yang mencabut Undang-Undang Nomor 8 Tahun 1981 dan mengatur mekanisme keadilan restoratif dalam Pasal 79 sampai dengan Pasal 88, bersamaan dengan berlakunya Undang-Undang Nomor 1 Tahun 2023 tentang Kitab Undang-Undang Hukum Pidana yang mengubah kualifikasi dan ancaman pidana pencurian. Perubahan berlapis tersebut belum dijangkau oleh kajian terdahulu, padahal justru perubahan itu yang menentukan apakah persoalan kepastian hukum yang dahulu dipersoalkan masih bertahan.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Pengujian ulang tersebut memiliki taruhan praktis yang nyata. Apabila persoalannya memang telah terjawab pada tataran norma, maka rekomendasi berupa desakan pembentukan aturan baru tidak lagi tepat sasaran, dan perhatian seharusnya dialihkan pada kesiapan kelembagaan serta penerimaan masyarakat. Sebaliknya, apabila masih terdapat celah, celah itu perlu ditunjukkan secara spesifik agar dapat ditutup.</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pengaturan keadilan restoratif sebagai alternatif penyelesaian tindak pidana pencurian; kedua, menganalisis implementasi keadilan restoratif dalam penyelesaian tindak pidana pencurian beserta hambatannya dan status hambatan tersebut dalam rezim hukum yang berlaku. Secara teoretis, penelitian ini berkontribusi pada kajian hukum pidana dengan memperlihatkan proses berpindahnya keadilan restoratif dari ranah kebijakan kelembagaan ke ranah undang-undang. Secara praktis, hasil penelitian ini dapat menjadi rujukan bagi penyidik dan pemangku kebijakan dalam memilah persoalan yang telah dijawab norma dari persoalan yang masih menuntut pembenahan pelaksanaan.</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jenis dan sumber data, teknik pengumpulan data,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 yaitu penelitian yang berfokus pada pengkajian norma hukum beserta penerapannya pada kasus yang berkaitan dengan tindak pidana pencurian. Pilihan tersebut ditentukan oleh karakter kedua permasalahan yang dirumuskan, yang sama-sama bertolak dari pertanyaan tentang kecukupan dan kejelasan norma, bukan dari pertanyaan tentang pengukuran variabel.</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yang digunakan adalah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dan pendekatan konseptual (</w:t>
      </w:r>
      <w:r>
        <w:rPr>
          <w:rFonts w:ascii="Segoe UI" w:hAnsi="Segoe UI" w:cs="Segoe UI"/>
          <w:sz w:val="22"/>
          <w:szCs w:val="22"/>
          <w:i/>
          <w:iCs/>
        </w:rPr>
        <w:t xml:space="preserve">conceptual approach</w:t>
      </w:r>
      <w:r>
        <w:rPr>
          <w:rFonts w:ascii="Segoe UI" w:hAnsi="Segoe UI" w:cs="Segoe UI"/>
          <w:sz w:val="22"/>
          <w:szCs w:val="22"/>
        </w:rPr>
        <w:t xml:space="preserve">). Pendekatan perundang-undangan dipakai untuk menelaah tata urutan dan substansi aturan yang menjadi dasar penerapan keadilan restoratif, mulai dari peraturan kelembagaan sampai dengan undang-undang, sekaligus menguji konsistensi antarnorma sesudah terjadinya perubahan hukum acara. Pendekatan konseptual dipakai untuk mendudukkan konsep keadilan restoratif, diversi, kepastian hukum, dan pemulihan keadaan semula sebagai alat analisis.</w:t>
      </w:r>
    </w:p>
    <w:p>
      <w:pPr>
        <w:pStyle w:val="IEEEParagraph"/>
        <w:ind w:left="567" w:right="322" w:firstLine="567"/>
        <w:rPr>
          <w:rFonts w:ascii="Segoe UI" w:hAnsi="Segoe UI" w:cs="Segoe UI"/>
          <w:sz w:val="22"/>
          <w:szCs w:val="22"/>
        </w:rPr>
      </w:pPr>
      <w:r>
        <w:rPr>
          <w:rFonts w:ascii="Segoe UI" w:hAnsi="Segoe UI" w:cs="Segoe UI"/>
          <w:sz w:val="22"/>
          <w:szCs w:val="22"/>
        </w:rPr>
        <w:t xml:space="preserve">Kedua pendekatan tersebut bekerja secara bertingkat. Pendekatan konseptual dipakai lebih dahulu untuk menetapkan tolok ukur apa yang seharusnya diatur oleh suatu norma keadilan restoratif, kemudian pendekatan perundang-undangan dipakai untuk menilai sejauh mana norma yang tersedia memenuhi tolok ukur tersebut. Alur ini penting karena permasalahan penelitian tidak berhenti pada pertanyaan apakah keadilan restoratif diatur, melainkan berlanjut pada pertanyaan apakah pengaturannya cukup untuk melahirkan kepastian hukum.</w:t>
      </w:r>
    </w:p>
    <w:p>
      <w:pPr>
        <w:pStyle w:val="IEEEParagraph"/>
        <w:ind w:left="567" w:right="322"/>
      </w:pPr>
    </w:p>
    <w:p>
      <w:pPr>
        <w:pStyle w:val="Heading2"/>
        <w:ind w:right="322"/>
        <w:rPr>
          <w:rStyle w:val="mediumtext"/>
        </w:rPr>
      </w:pPr>
      <w:r>
        <w:rPr>
          <w:rStyle w:val="mediumtext"/>
        </w:rPr>
        <w:t xml:space="preserve">2.2 Jenis dan Sumber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primer diperoleh melalui wawancara langsung dengan pihak yang terkait dengan implementasi keadilan restoratif dalam tindak pidana pencurian, sedangkan data sekunder diperoleh melalui studi kepustakaan yang berhubungan dengan masalah yang dibahas, meliputi peraturan perundang-undangan, karya ilmiah, kamus hukum, bahan laporan, dokumen atau arsip, dan referensi buku.</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yang digunakan meliputi Undang-Undang Nomor 8 Tahun 1981 tentang Hukum Acara Pidana, Undang-Undang Nomor 11 Tahun 2012 tentang Sistem Peradilan Pidana Anak, Undang-Undang Nomor 1 Tahun 2023 tentang Kitab Undang-Undang Hukum Pidana, Undang-Undang Nomor 20 Tahun 2025 tentang Kitab Undang-Undang Hukum Acara Pidana, Peraturan Kejaksaan Nomor 15 Tahun 2020, Peraturan Kepolisian Nomor 8 Tahun 2021, dan Peraturan Mahkamah Agung Nomor 1 Tahun 2024. Dokumen perkara yang digunakan berupa surat perintah penghentian penyidikan pada perkara pencurian oleh anak yang diselesaikan melalui keadilan restoratif.</w:t>
      </w:r>
    </w:p>
    <w:p>
      <w:pPr>
        <w:pStyle w:val="IEEEParagraph"/>
        <w:ind w:left="567" w:right="322"/>
      </w:pPr>
    </w:p>
    <w:p>
      <w:pPr>
        <w:pStyle w:val="Heading2"/>
        <w:ind w:right="322"/>
        <w:rPr>
          <w:rStyle w:val="mediumtext"/>
        </w:rPr>
      </w:pPr>
      <w:r>
        <w:rPr>
          <w:rStyle w:val="mediumtext"/>
        </w:rPr>
        <w:t xml:space="preserve">2.3 Teknik Pengumpulan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primer dikumpulkan dengan cara wawancara, yaitu melakukan tanya jawab secara langsung dengan narasumber, serta observasi terhadap praktik penyelesaian perkara pada satuan reserse kriminal. Data sekunder dikumpulkan dengan mempelajari peraturan perundang-undangan, hasil karya ilmiah, kamus, bahan laporan, dokumen atau arsip, dan referensi buku yang berkaitan dengan penelitian ini.</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sesudah rumusan awal permasalahan disusun, penelusuran diarahkan pada teks undang-undang dan publikasi resmi lembaga negara agar setiap pernyataan mengenai perubahan norma dapat diverifikasi sumbernya. Bahan yang tidak dapat diverifikasi tidak digunakan sebagai dasar argumentasi.</w:t>
      </w:r>
    </w:p>
    <w:p>
      <w:pPr>
        <w:pStyle w:val="IEEEParagraph"/>
        <w:ind w:left="567" w:right="322"/>
      </w:pPr>
    </w:p>
    <w:p>
      <w:pPr>
        <w:pStyle w:val="Heading2"/>
        <w:ind w:right="322"/>
        <w:rPr>
          <w:rStyle w:val="mediumtext"/>
        </w:rPr>
      </w:pPr>
      <w:r>
        <w:rPr>
          <w:rStyle w:val="mediumtext"/>
        </w:rPr>
        <w:t xml:space="preserve">2.4 Teknik Analisis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yang diperoleh disusun, diuraikan, dan dianalisis secara kualitatif dengan memaparkan secara deskriptif hasil data yang tepat dan relevan untuk menjawab masalah penelitian. Analisis ditempuh melalui alur berjenjang, yaitu identifikasi norma yang menjadi dasar penerapan, identifikasi persoalan yang timbul dari norma tersebut, penelusuran praktik penerapannya, dan penilaian atas kecukupan norma.</w:t>
      </w:r>
    </w:p>
    <w:p>
      <w:pPr>
        <w:pStyle w:val="IEEEParagraph"/>
        <w:ind w:left="567" w:right="322" w:firstLine="567"/>
        <w:rPr>
          <w:rFonts w:ascii="Segoe UI" w:hAnsi="Segoe UI" w:cs="Segoe UI"/>
          <w:sz w:val="22"/>
          <w:szCs w:val="22"/>
        </w:rPr>
      </w:pPr>
      <w:r>
        <w:rPr>
          <w:rFonts w:ascii="Segoe UI" w:hAnsi="Segoe UI" w:cs="Segoe UI"/>
          <w:sz w:val="22"/>
          <w:szCs w:val="22"/>
        </w:rPr>
        <w:t xml:space="preserve">Khusus untuk penilaian terhadap hukum yang berlaku sekarang, analisis dilanjutkan dengan komparasi normatif, yaitu menyandingkan rumusan norma yang menjadi sumber persoalan dengan rumusan norma yang berlaku sesudahnya. Komparasi ini menghasilkan penilaian mengenai persoalan mana yang telah terjawab secara normatif dan persoalan mana yang masih bertahan, sehingga rekomendasi yang disusun tidak mengulang usulan yang sebenarnya telah dipenuhi oleh pembentuk undang-undang.</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rumusan pasal diperiksa langsung pada teks peraturan, termasuk teks perubahannya, agar tidak terjadi kekeliruan penyebutan norma yang sudah tidak berlaku. Kedua, setiap penilaian normatif diuji dengan menyandingkannya pada pandangan yang berbeda, khususnya pandangan yang mengingatkan risiko melemahnya perlindungan korban dan kepentingan umum dalam penyelesaian di luar pengadilan, agar argumentasi yang dibangun tidak bersifat satu arah.</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keadilan restoratif dalam tindak pidana pencurian, dengan penekanan pada tahap penyidikan dan pada perkara yang pelakunya anak, sehingga tidak membahas seluruh jenis tindak pidana maupun seluruh tahapan peradilan secara mendalam. Penilaian terhadap regulasi terbaru juga dibatasi pada aspek dasar hukum, kriteria kelayakan, dan mekanisme pengawasan, serta tidak mencakup pengukuran efektivitas secara statistik. Kesimpulan yang ditarik karenanya berlaku pada tataran pengaturan dan bukan pada tataran perkara individual.</w:t>
      </w:r>
    </w:p>
    <w:p>
      <w:pPr>
        <w:pStyle w:val="IEEEParagraph"/>
        <w:ind w:left="567" w:right="322" w:firstLine="567"/>
        <w:rPr>
          <w:rFonts w:ascii="Segoe UI" w:hAnsi="Segoe UI" w:cs="Segoe UI"/>
          <w:sz w:val="22"/>
          <w:szCs w:val="22"/>
        </w:rPr>
      </w:pPr>
      <w:r>
        <w:rPr>
          <w:rFonts w:ascii="Segoe UI" w:hAnsi="Segoe UI" w:cs="Segoe UI"/>
          <w:sz w:val="22"/>
          <w:szCs w:val="22"/>
        </w:rPr>
        <w:t xml:space="preserve">Selain itu, identitas satuan kepolisian tempat data lapangan diperoleh tidak diungkapkan secara spesifik dalam artikel ini, sehingga uraian mengenai praktik penyelesaian perkara diperlakukan sebagai gambaran pola dan bukan sebagai evaluasi terhadap kinerja satuan tertentu.</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pengaturannya, sedangkan subbagian 3.2 menganalisis implementasinya beserta hambatan dan status hambatan tersebut dalam rezim hukum yang berlaku.</w:t>
      </w:r>
    </w:p>
    <w:p>
      <w:pPr>
        <w:pStyle w:val="IEEEParagraph"/>
        <w:ind w:left="567" w:right="322"/>
      </w:pPr>
    </w:p>
    <w:p>
      <w:pPr>
        <w:pStyle w:val="Heading2"/>
        <w:ind w:right="322"/>
        <w:rPr>
          <w:rStyle w:val="mediumtext"/>
        </w:rPr>
      </w:pPr>
      <w:r>
        <w:rPr>
          <w:rStyle w:val="mediumtext"/>
        </w:rPr>
        <w:t xml:space="preserve">3.1 Pengaturan Keadilan Restoratif sebagai Alternatif Penyelesaian Tindak Pidana Pencurian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Keadilan restoratif bertolak dari gagasan bahwa penyelesaian perkara pidana harus mengakomodasi kepentingan semua pihak, yaitu terpulihkannya keadaan korban seperti semula, hilangnya rasa bersalah pada diri pelaku, terjaganya rasa aman masyarakat, dan berkurangnya pengeluaran negara. Konsep ini tidak dimaksudkan menghapus batas antara hukum pidana dan hukum perdata, melainkan mengembalikan fungsi hukum pidana pada kedudukan semula sebagai </w:t>
      </w:r>
      <w:r>
        <w:rPr>
          <w:rFonts w:ascii="Segoe UI" w:hAnsi="Segoe UI" w:cs="Segoe UI"/>
          <w:sz w:val="22"/>
          <w:szCs w:val="22"/>
          <w:i/>
          <w:iCs/>
        </w:rPr>
        <w:t xml:space="preserve">ultimum remedium</w:t>
      </w:r>
      <w:r>
        <w:rPr>
          <w:rFonts w:ascii="Segoe UI" w:hAnsi="Segoe UI" w:cs="Segoe UI"/>
          <w:sz w:val="22"/>
          <w:szCs w:val="22"/>
        </w:rPr>
        <w:t xml:space="preserve"> apabila pranata hukum lain sudah tidak berfungsi (Yusuf, 2016). Pada tataran praktik, keadilan restoratif bekerja melalui pertemuan yang memungkinkan korban menyampaikan dampak perbuatan dan pelaku memikul tanggung jawab secara langsung (Liebmann, 2007).</w:t>
      </w:r>
    </w:p>
    <w:p>
      <w:pPr>
        <w:pStyle w:val="IEEEParagraph"/>
        <w:ind w:left="567" w:right="322" w:firstLine="567"/>
        <w:rPr>
          <w:rFonts w:ascii="Segoe UI" w:hAnsi="Segoe UI" w:cs="Segoe UI"/>
          <w:sz w:val="22"/>
          <w:szCs w:val="22"/>
        </w:rPr>
      </w:pPr>
      <w:r>
        <w:rPr>
          <w:rFonts w:ascii="Segoe UI" w:hAnsi="Segoe UI" w:cs="Segoe UI"/>
          <w:sz w:val="22"/>
          <w:szCs w:val="22"/>
        </w:rPr>
        <w:t xml:space="preserve">Pada tahap penyidikan, penerapan keadilan restoratif selama ini bertumpu pada Peraturan Kepolisian Nomor 8 Tahun 2021. Peraturan tersebut menguraikan syarat umum dan syarat khusus serta syarat materiil dan syarat formil, tetapi tidak menjabarkan secara terperinci pada tahapan mana penyelesaian perkara dapat dilakukan. Padahal penyidikan merupakan serangkaian tindakan untuk mencari dan mengumpulkan bukti guna membuat terang suatu tindak pidana dan menemukan tersangkanya, yang di dalamnya melekat kewenangan penangkapan, pemeriksaan, penahanan, penggeledahan, dan penyitaan (Hamzah, 2011). Ketiadaan penegasan tahapan menyebabkan penerapan bersandar pada kebiasaan dan diskresi penyidik.</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tersebut menajam pada satu titik yang konkret, yaitu kedudukan surat kesepakatan damai. Penerapan keadilan restoratif berdasarkan peraturan kepolisian tidak dapat ditempuh terhadap pelaku pengulangan tindak pidana, sementara seseorang baru dapat disebut residivis apabila mengulangi delik setelah adanya putusan pengadilan yang berkekuatan hukum tetap. Pertanyaannya, bagaimana kedudukan pelaku yang perkaranya dahulu diselesaikan melalui kesepakatan damai lalu kemudian melakukan kejahatan yang sama? Apakah surat kesepakatan damai dapat disamakan kedudukannya dengan putusan pengadilan? Peraturan kepolisian tidak menjawabnya, sehingga dalam kebiasaan pelaksanaannya perkara demikian langsung dilimpahkan ke tahap berikutnya meskipun syarat materiil dan formil terpenuhi.</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ketidakjelasan tersebut merupakan persoalan kepastian hukum dalam arti yang sebenarnya, bukan sekadar persoalan teknis administrasi, sebab kepastian hukum menuntut agar akibat hukum suatu perbuatan dapat diketahui dan diramalkan sebelumnya oleh para pihak. Ketika dasar penerapan hanya berupa peraturan kelembagaan yang tidak menentukan tahapan dan tidak menjawab akibat hukum kesepakatan damai, hasil penyelesaian perkara bergantung pada penilaian subjektif penyidik. Konsekuensinya terlihat pada disparitas terhadap perkara sejenis, yang dipengaruhi perbedaan pemahaman penyidik, pandangan bahwa tindak pidana yang ditemukan langsung oleh polisi tidak dapat diselesaikan secara restoratif, dan bertahannya paradigma retributif.</w:t>
      </w:r>
    </w:p>
    <w:p>
      <w:pPr>
        <w:pStyle w:val="IEEEParagraph"/>
        <w:ind w:left="567" w:right="322" w:firstLine="567"/>
        <w:rPr>
          <w:rFonts w:ascii="Segoe UI" w:hAnsi="Segoe UI" w:cs="Segoe UI"/>
          <w:sz w:val="22"/>
          <w:szCs w:val="22"/>
        </w:rPr>
      </w:pPr>
      <w:r>
        <w:rPr>
          <w:rFonts w:ascii="Segoe UI" w:hAnsi="Segoe UI" w:cs="Segoe UI"/>
          <w:sz w:val="22"/>
          <w:szCs w:val="22"/>
        </w:rPr>
        <w:t xml:space="preserve">Kondisi tersebut berubah secara mendasar sejak berlakunya Undang-Undang Nomor 20 Tahun 2025 pada 2 Januari 2026. Undang-undang ini mencabut Undang-Undang Nomor 8 Tahun 1981 dan mengatur mekanisme keadilan restoratif dalam Pasal 79 sampai dengan Pasal 88. Pasal 79 ayat (1) menegaskan bahwa penyelesaian perkara dengan pendekatan keadilan restoratif dilakukan untuk memulihkan keadaan semula serta menyeimbangkan perlindungan kepentingan korban, pelaku, dan masyarakat. Pengaturan mekanismenya dipilah menurut tahapan, yaitu tahap penyelidikan dan penyidikan, tahap penuntutan, serta tahap pemeriksaan di persidangan, sehingga persoalan ketidakjelasan tahapan yang dahulu dipersoalkan telah terjawab (Mahkamah Agung Republik Indonesia, 2026).</w:t>
      </w:r>
    </w:p>
    <w:p>
      <w:pPr>
        <w:pStyle w:val="IEEEParagraph"/>
        <w:ind w:left="567" w:right="322" w:firstLine="567"/>
        <w:rPr>
          <w:rFonts w:ascii="Segoe UI" w:hAnsi="Segoe UI" w:cs="Segoe UI"/>
          <w:sz w:val="22"/>
          <w:szCs w:val="22"/>
        </w:rPr>
      </w:pPr>
      <w:r>
        <w:rPr>
          <w:rFonts w:ascii="Segoe UI" w:hAnsi="Segoe UI" w:cs="Segoe UI"/>
          <w:sz w:val="22"/>
          <w:szCs w:val="22"/>
        </w:rPr>
        <w:t xml:space="preserve">Yang lebih penting, Pasal 80 ayat (1) menetapkan kriteria kelayakan secara tegas, yaitu tindak pidana yang diancam dengan pidana denda paling banyak kategori III atau pidana penjara paling lama lima tahun, tindak pidana yang pertama kali dilakukan, serta bukan merupakan pengulangan tindak pidana kecuali terhadap tindak pidana yang putusannya berupa pidana denda atau yang dilakukan karena kealpaan. Rumusan tersebut menjawab langsung pertanyaan mengenai pelaku yang mengulangi perbuatan, sebab ukuran yang dipakai bukan lagi ada atau tidaknya kesepakatan damai terdahulu, melainkan kriteria yang ditetapkan undang-undang. Ditambahkan pula mekanisme pengawasan pengadilan, antara lain melalui Pasal 86 yang mewajibkan surat ketetapan penghentian penuntutan dimintakan penetapan Ketua Pengadilan Negeri paling lama tiga hari sejak diterbitkan.</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 tindak pidana pencurian, kriteria ancaman pidana tersebut memiliki akibat yang perlu dicermati karena Undang-Undang Nomor 1 Tahun 2023 mengubah kualifikasi dan ancaman pidana pencurian. Tabel 1 menyandingkan kualifikasi pencurian dengan kriteria kelayakan keadilan restoratif.</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Kualifikasi Tindak Pidana Pencurian dan Keterpenuhan Kriteria Ancaman Pidana dalam Keadilan Restoratif</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750"/>
        <w:gridCol w:w="2050"/>
        <w:gridCol w:w="2500"/>
        <w:gridCol w:w="2726"/>
      </w:tblGrid>
      <w:tr>
        <w:trPr>
          <w:cantSplit/>
          <w:tblHeader/>
        </w:trPr>
        <w:tc>
          <w:tcPr>
            <w:tcW w:w="175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Kualifikasi</w:t>
            </w:r>
          </w:p>
        </w:tc>
        <w:tc>
          <w:tcPr>
            <w:tcW w:w="205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Dasar Hukum</w:t>
            </w:r>
          </w:p>
        </w:tc>
        <w:tc>
          <w:tcPr>
            <w:tcW w:w="25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Ancaman Pidana</w:t>
            </w:r>
          </w:p>
        </w:tc>
        <w:tc>
          <w:tcPr>
            <w:tcW w:w="27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Kriteria Pasal 80 ayat (1) huruf a</w:t>
            </w:r>
          </w:p>
        </w:tc>
      </w:tr>
      <w:tr>
        <w:trPr>
          <w:cantSplit/>
        </w:trPr>
        <w:tc>
          <w:tcPr>
            <w:tcW w:w="17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Pencurian ringan</w:t>
            </w:r>
          </w:p>
        </w:tc>
        <w:tc>
          <w:tcPr>
            <w:tcW w:w="20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478 UU No. 1 Tahun 2023</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Pidana denda paling banyak kategori II</w:t>
            </w:r>
          </w:p>
        </w:tc>
        <w:tc>
          <w:tcPr>
            <w:tcW w:w="27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Memenuhi</w:t>
            </w:r>
          </w:p>
        </w:tc>
      </w:tr>
      <w:tr>
        <w:trPr>
          <w:cantSplit/>
        </w:trPr>
        <w:tc>
          <w:tcPr>
            <w:tcW w:w="17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Pencurian</w:t>
            </w:r>
          </w:p>
        </w:tc>
        <w:tc>
          <w:tcPr>
            <w:tcW w:w="20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476 UU No. 1 Tahun 2023</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Pidana penjara paling lama 5 tahun atau pidana denda paling banyak kategori V</w:t>
            </w:r>
          </w:p>
        </w:tc>
        <w:tc>
          <w:tcPr>
            <w:tcW w:w="27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Memenuhi</w:t>
            </w:r>
          </w:p>
        </w:tc>
      </w:tr>
      <w:tr>
        <w:trPr>
          <w:cantSplit/>
        </w:trPr>
        <w:tc>
          <w:tcPr>
            <w:tcW w:w="17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Pencurian dengan pemberatan</w:t>
            </w:r>
          </w:p>
        </w:tc>
        <w:tc>
          <w:tcPr>
            <w:tcW w:w="20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477 ayat (1) UU No. 1 Tahun 2023</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Pidana penjara paling lama 7 tahun atau pidana denda paling banyak kategori V</w:t>
            </w:r>
          </w:p>
        </w:tc>
        <w:tc>
          <w:tcPr>
            <w:tcW w:w="27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memenuhi</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UU No. 1 Tahun 2023 dan UU No. 20 Tahun 2025</w:t>
      </w:r>
    </w:p>
    <w:p>
      <w:pPr>
        <w:pStyle w:val="IEEEParagraph"/>
        <w:ind w:left="567" w:right="322" w:firstLine="567"/>
        <w:rPr>
          <w:rFonts w:ascii="Segoe UI" w:hAnsi="Segoe UI" w:cs="Segoe UI"/>
          <w:sz w:val="22"/>
          <w:szCs w:val="22"/>
        </w:rPr>
      </w:pPr>
      <w:r>
        <w:rPr>
          <w:rFonts w:ascii="Segoe UI" w:hAnsi="Segoe UI" w:cs="Segoe UI"/>
          <w:sz w:val="22"/>
          <w:szCs w:val="22"/>
        </w:rPr>
        <w:t xml:space="preserve">Tabel 1 memperlihatkan bahwa pencurian dalam bentuk pokok berada tepat pada batas atas kriteria kelayakan, sedangkan pencurian dengan pemberatan berada di luarnya, padahal sebagian besar perkara pencurian yang dilaporkan masyarakat justru mengandung unsur pemberatan. Secara yuridis, perluasan dasar hukum keadilan restoratif dengan demikian tidak serta-merta memperluas cakupan perkara pencurian yang dapat diselesaikan di luar pengadilan. Pembatasan itu dapat dipahami karena pembentuk undang-undang menempatkan keadilan restoratif pada perkara yang kerugiannya bersifat individual dan tingkat bahayanya terbatas, sehingga pemulihan tidak mengorbankan kepentingan umum.</w:t>
      </w:r>
    </w:p>
    <w:p>
      <w:pPr>
        <w:pStyle w:val="IEEEParagraph"/>
        <w:ind w:left="567" w:right="322"/>
      </w:pPr>
    </w:p>
    <w:p>
      <w:pPr>
        <w:pStyle w:val="Heading2"/>
        <w:ind w:right="322"/>
        <w:rPr>
          <w:rStyle w:val="mediumtext"/>
        </w:rPr>
      </w:pPr>
      <w:r>
        <w:rPr>
          <w:rStyle w:val="mediumtext"/>
        </w:rPr>
        <w:t xml:space="preserve">3.2 Implementasi Keadilan Restoratif dalam Penyelesaian Tindak Pidana Pencurian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Pada tataran pelaksanaan, kepolisian menempuh keadilan restoratif dengan melibatkan terlapor, pelapor, keluarga, tokoh adat, tokoh agama, dan tokoh masyarakat. Upaya memasifkan penerapan juga ditempuh melalui penyediaan sarana, antara lain dengan meresmikan rumah keadilan restoratif sebagai tempat pertemuan para pihak. Pilihan tempat ini bertolak dari kesadaran bahwa korban merasakan tekanan yang tinggi ketika berhadapan dengan aparat, sehingga musyawarah dipindahkan dari ruang pemeriksaan ke ruang yang lebih netral dengan penyidik berperan sebatas sebagai perantara.</w:t>
      </w:r>
    </w:p>
    <w:p>
      <w:pPr>
        <w:pStyle w:val="IEEEParagraph"/>
        <w:ind w:left="567" w:right="322" w:firstLine="567"/>
        <w:rPr>
          <w:rFonts w:ascii="Segoe UI" w:hAnsi="Segoe UI" w:cs="Segoe UI"/>
          <w:sz w:val="22"/>
          <w:szCs w:val="22"/>
        </w:rPr>
      </w:pPr>
      <w:r>
        <w:rPr>
          <w:rFonts w:ascii="Segoe UI" w:hAnsi="Segoe UI" w:cs="Segoe UI"/>
          <w:sz w:val="22"/>
          <w:szCs w:val="22"/>
        </w:rPr>
        <w:t xml:space="preserve">Untuk perkara yang pelakunya anak, penyelesaian ditempuh melalui diversi sebagai bentuk penerapan keadilan restoratif. Pasal 1 angka 6 Undang-Undang Nomor 11 Tahun 2012 merumuskan keadilan restoratif sebagai penyelesaian perkara dengan melibatkan pelaku, korban, keluarga pelaku dan korban, serta pihak lain yang terkait untuk bersama-sama mencari penyelesaian yang adil dengan menekankan pemulihan kembali pada keadaan semula dan bukan pembalasan. Mekanismenya berjalan berurutan: penyidik unit perlindungan perempuan dan anak menerima laporan dan menyerahkan berkas perkara kepada balai pemasyarakatan; balai pemasyarakatan melakukan penelitian kemasyarakatan dan menerbitkan rekomendasi diversi; penyidik kemudian bertindak sebagai fasilitator setelah menggali motif perbuatan anak. Apabila tercapai kesepakatan, penetapan diversi diajukan ke pengadilan; apabila tidak, perkara dilanjutkan ke tahap penuntutan.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menunjukkan bahwa penyidik telah mengupayakan penyelesaian tersebut sesuai dengan Undang-Undang Nomor 11 Tahun 2012, namun tidak seluruh perkara anak berakhir dengan perdamaian. Kegagalan umumnya bersumber pada tidak terbangunnya komunikasi dan saling pengertian di antara para pihak dalam musyawarah, sehingga penerapan keadilan restoratif belum berjalan sempurna. Hambatan yang ditemukan dapat dikelompokkan menjadi hambatan internal dan hambatan eksternal, sebagaimana disajikan pada Tabel 2 beserta penilaian atas statusnya dalam rezim hukum yang berlaku.</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Hambatan Implementasi Keadilan Restoratif dan Statusnya dalam Rezim Hukum yang Berlaku</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150"/>
        <w:gridCol w:w="2500"/>
        <w:gridCol w:w="3550"/>
        <w:gridCol w:w="1826"/>
      </w:tblGrid>
      <w:tr>
        <w:trPr>
          <w:cantSplit/>
          <w:tblHeader/>
        </w:trPr>
        <w:tc>
          <w:tcPr>
            <w:tcW w:w="115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Jenis</w:t>
            </w:r>
          </w:p>
        </w:tc>
        <w:tc>
          <w:tcPr>
            <w:tcW w:w="25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Hambatan</w:t>
            </w:r>
          </w:p>
        </w:tc>
        <w:tc>
          <w:tcPr>
            <w:tcW w:w="355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Norma yang Berlaku Sesudahnya</w:t>
            </w:r>
          </w:p>
        </w:tc>
        <w:tc>
          <w:tcPr>
            <w:tcW w:w="18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Status</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Internal</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Belum optimalnya regulasi sehingga penyidik bersandar pada diskresi</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79–88 UU No. 20 Tahun 2025 memberi dasar undang-undang dan memilah mekanisme menurut tahapan</w:t>
            </w:r>
          </w:p>
        </w:tc>
        <w:tc>
          <w:tcPr>
            <w:tcW w:w="18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Terjawab</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Internal</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jelasnya kedudukan kesepakatan damai terhadap pelaku yang mengulangi perbuatan</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80 ayat (1) huruf b dan huruf c menetapkan kriteria pertama kali dilakukan dan bukan pengulangan</w:t>
            </w:r>
          </w:p>
        </w:tc>
        <w:tc>
          <w:tcPr>
            <w:tcW w:w="18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Terjawab</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Internal</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Singkatnya jangka waktu diversi, yaitu paling lama 30 hari</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29 UU No. 11 Tahun 2012 tetap berlaku sebagai lex specialis bagi anak</w:t>
            </w:r>
          </w:p>
        </w:tc>
        <w:tc>
          <w:tcPr>
            <w:tcW w:w="18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Belum terjawab</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Internal</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Kurangnya koordinasi antarlembaga dan terbatasnya sarana prasarana</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menjadi objek pengaturan hukum acara</w:t>
            </w:r>
          </w:p>
        </w:tc>
        <w:tc>
          <w:tcPr>
            <w:tcW w:w="18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Bersifat kelembagaan</w:t>
            </w:r>
          </w:p>
        </w:tc>
      </w:tr>
      <w:tr>
        <w:trPr>
          <w:cantSplit/>
        </w:trPr>
        <w:tc>
          <w:tcPr>
            <w:tcW w:w="11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Eksternal</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Faktor anak, sikap korban, sulitnya memperoleh saksi, dan pandangan masyarakat</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menjadi objek pengaturan hukum acara</w:t>
            </w:r>
          </w:p>
        </w:tc>
        <w:tc>
          <w:tcPr>
            <w:tcW w:w="18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Bersifat kultural</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hasil penelitian, UU No. 11 Tahun 2012, dan UU No. 20 Tahun 2025</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Tabel 2 menghasilkan tiga penegasan. Pertama, dua hambatan internal yang paling mendasar telah dijawab pada tataran norma. Keadilan restoratif kini memiliki dasar undang-undang, tahapan penerapannya dipilah secara tegas, kriteria kelayakannya ditetapkan, dan pengawasan pengadilan dilekatkan pada penghentian perkara. Dengan demikian, penilaian penyidik tidak lagi berdiri sendiri sebagaimana ketika dasar penerapan hanya berupa peraturan kelembagaan.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Kedua, sebagian hambatan tetap bertahan justru karena berada di luar jangkauan hukum acara umum. Jangka waktu diversi paling lama tiga puluh hari sebagaimana diatur Pasal 29 Undang-Undang Nomor 11 Tahun 2012 tidak berubah, sementara hambatan berupa terbatasnya koordinasi antarlembaga, keterbatasan sarana, dan sikap para pihak memang bukan objek yang lazim diatur dalam hukum acara. Jika dikaitkan dengan teori sistem hukum, hambatan pertama berada pada wilayah substansi hukum, hambatan kedua pada wilayah struktur hukum, dan hambatan ketiga pada wilayah budaya hukum. Perbaikan substansi tidak akan menghasilkan perubahan yang berarti apabila struktur dan budaya hukumnya tidak turut dibenahi.</w:t>
      </w:r>
    </w:p>
    <w:p>
      <w:pPr>
        <w:pStyle w:val="IEEEParagraph"/>
        <w:ind w:left="567" w:right="322" w:firstLine="567"/>
        <w:rPr>
          <w:rFonts w:ascii="Segoe UI" w:hAnsi="Segoe UI" w:cs="Segoe UI"/>
          <w:sz w:val="22"/>
          <w:szCs w:val="22"/>
        </w:rPr>
      </w:pPr>
      <w:r>
        <w:rPr>
          <w:rFonts w:ascii="Segoe UI" w:hAnsi="Segoe UI" w:cs="Segoe UI"/>
          <w:sz w:val="22"/>
          <w:szCs w:val="22"/>
        </w:rPr>
        <w:t xml:space="preserve">Ketiga, terdapat catatan kritis yang perlu dikemukakan secara berimbang. Penerapan keadilan restoratif pada tahap penyelidikan belum disertai mekanisme pengawasan sekuat yang berlaku pada tahap penuntutan, padahal justru pada tahap paling awal itulah risiko ketidakseragaman penilaian paling besar. Selain itu, bentuk pemulihan yang selama ini ditawarkan dalam perkara anak, yakni pengembalian kepada orang tua dan kewajiban lapor, merupakan bentuk yang paling lemah karena tidak disertai pendidikan atau pembekalan bagi anak, sehingga penyidik kesulitan meyakinkan pihak korban bahwa perbuatan tersebut tidak akan berulang. Temuan tersebut memperlihatkan bahwa pemulihan yang bermakna menuntut isi kesepakatan yang lebih substantif, bukan sekadar terpenuhinya prosedur.</w:t>
      </w:r>
    </w:p>
    <w:p>
      <w:pPr>
        <w:pStyle w:val="IEEEParagraph"/>
        <w:ind w:left="567" w:right="322" w:firstLine="567"/>
        <w:rPr>
          <w:rFonts w:ascii="Segoe UI" w:hAnsi="Segoe UI" w:cs="Segoe UI"/>
          <w:sz w:val="22"/>
          <w:szCs w:val="22"/>
        </w:rPr>
      </w:pPr>
      <w:r>
        <w:rPr>
          <w:rFonts w:ascii="Segoe UI" w:hAnsi="Segoe UI" w:cs="Segoe UI"/>
          <w:sz w:val="22"/>
          <w:szCs w:val="22"/>
        </w:rPr>
        <w:t xml:space="preserve">Secara keseluruhan, peta persoalan keadilan restoratif dalam tindak pidana pencurian telah bergeser. Hambatan yang dahulu bersifat normatif sebagian besar telah teratasi, sehingga persoalan yang tersisa lebih banyak menyangkut kesiapan kelembagaan, kualitas isi kesepakatan pemulihan, dan penerimaan masyarakat. Konsekuensi metodologisnya jelas: rekomendasi pembenahan tidak lagi tepat jika hanya diarahkan pada desakan pembentukan aturan baru, melainkan harus diarahkan pada penguatan pelaksanaan norma yang telah tersedia.</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Pengaturan keadilan restoratif sebagai alternatif penyelesaian tindak pidana pencurian pada tahap penyidikan semula belum memadai karena hanya bersandar pada Peraturan Kepolisian Nomor 8 Tahun 2021 yang tidak menjabarkan tahapan penerapan secara terperinci dan tidak menjawab kedudukan surat kesepakatan damai terhadap pelaku yang mengulangi perbuatannya, sehingga penerapannya bergantung pada kebiasaan dan diskresi penyidik serta melahirkan disparitas pada perkara sejenis. Keadaan tersebut telah berubah sejak berlakunya Undang-Undang Nomor 20 Tahun 2025 yang mengatur mekanisme keadilan restoratif dalam Pasal 79 sampai dengan Pasal 88, memilah mekanisme menurut tahapan, menetapkan kriteria kelayakan pada Pasal 80 ayat (1), dan melekatkan pengawasan pengadilan pada penghentian perkara. Meskipun demikian, perluasan dasar hukum tersebut tidak dengan sendirinya memperluas cakupan perkara pencurian yang dapat diselesaikan di luar pengadilan, sebab pencurian dengan pemberatan tetap berada di luar kriteria ancaman pidana yang ditetapkan.</w:t>
      </w:r>
    </w:p>
    <w:p>
      <w:pPr>
        <w:pStyle w:val="IEEEParagraph"/>
        <w:ind w:left="567" w:right="322" w:firstLine="567"/>
        <w:rPr>
          <w:rFonts w:ascii="Segoe UI" w:hAnsi="Segoe UI" w:cs="Segoe UI"/>
          <w:sz w:val="22"/>
          <w:szCs w:val="22"/>
        </w:rPr>
      </w:pPr>
      <w:r>
        <w:rPr>
          <w:rFonts w:ascii="Segoe UI" w:hAnsi="Segoe UI" w:cs="Segoe UI"/>
          <w:sz w:val="22"/>
          <w:szCs w:val="22"/>
        </w:rPr>
        <w:t xml:space="preserve">Implementasi keadilan restoratif dalam penyelesaian tindak pidana pencurian telah diupayakan oleh penyidik, dan untuk perkara yang pelakunya anak ditempuh melalui diversi sesuai dengan Undang-Undang Nomor 11 Tahun 2012. Namun tidak seluruh perkara berakhir dengan perdamaian karena bergantung pula pada terbangunnya komunikasi dan saling pengertian antara pelaku dan korban, sehingga penerapannya belum berjalan sempurna. Pengujian terhadap hukum yang berlaku memperlihatkan bahwa hambatan berupa belum optimalnya regulasi dan tidak jelasnya kedudukan kesepakatan damai telah terjawab secara normatif, sedangkan hambatan berupa singkatnya jangka waktu diversi, terbatasnya koordinasi antarlembaga dan sarana prasarana, serta sikap para pihak dan pandangan masyarakat tetap bertahan karena berada pada wilayah struktur dan budaya hukum. Dengan demikian, hambatan yang tersisa lebih bersifat kelembagaan dan kultural daripada normatif.</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pembenahan diarahkan pada penguatan pelaksanaan norma yang telah tersedia, yaitu penyeragaman pemahaman penyidik mengenai kriteria kelayakan dalam Pasal 80 ayat (1) melalui pedoman teknis dan pelatihan, penguatan koordinasi antara penyidik, balai pemasyarakatan, dan pekerja sosial agar administrasi diversi tidak melampaui tenggat tiga puluh hari, serta perluasan sosialisasi kepada masyarakat agar penyelesaian restoratif tidak dipahami sebagai pembebasan pelaku dari tanggung jawab. Terhadap perkara anak, bentuk pemulihan sebaiknya tidak berhenti pada pengembalian kepada orang tua dan kewajiban lapor, melainkan disertai program pembinaan yang terukur agar kesepakatan memiliki daya meyakinkan bagi korban. Selanjutnya, mekanisme pengawasan pada tahap penyelidikan perlu diperkuat agar setara dengan pengawasan yang berlaku pada tahap penuntutan. Bagi pengembangan ilmu, penelitian lanjutan disarankan menguji penerapan Pasal 79 sampai dengan Pasal 88 pada perkara pencurian dengan cakupan yang lebih luas untuk menilai apakah disparitas penanganan perkara sejenis benar-benar berkurang.</w:t>
      </w:r>
    </w:p>
    <w:p>
      <w:pPr>
        <w:pStyle w:val="IEEEParagraph"/>
        <w:ind w:left="567" w:right="322" w:firstLine="567"/>
        <w:rPr>
          <w:rFonts w:ascii="Segoe UI" w:hAnsi="Segoe UI" w:cs="Segoe UI"/>
          <w:sz w:val="22"/>
          <w:szCs w:val="22"/>
        </w:rPr>
      </w:pPr>
      <w:r>
        <w:rPr>
          <w:rFonts w:ascii="Segoe UI" w:hAnsi="Segoe UI" w:cs="Segoe UI"/>
          <w:sz w:val="22"/>
          <w:szCs w:val="22"/>
        </w:rPr>
        <w:t xml:space="preserve">Akhirnya perlu ditegaskan bahwa penyelesaian di luar pengadilan tidak boleh dibaca sebagai pengurangan tanggung jawab pelaku. Keadilan restoratif hanya bermakna apabila pemulihan yang disepakati benar-benar terlaksana dan kepentingan korban tetap terlindungi, sehingga pengawasan atas pelaksanaan kesepakatan sama pentingnya dengan kemudahan mencapainya.</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Arief, B. N. (2009). </w:t>
      </w:r>
      <w:r>
        <w:rPr>
          <w:rFonts w:cs="Segoe UI"/>
          <w:sz w:val="20"/>
          <w:szCs w:val="20"/>
          <w:i/>
          <w:iCs/>
        </w:rPr>
        <w:t xml:space="preserve">Kebijakan legislatif dalam penanggulangan kejahatan dengan pidana penjara</w:t>
      </w:r>
      <w:r>
        <w:rPr>
          <w:rFonts w:cs="Segoe UI"/>
          <w:sz w:val="20"/>
          <w:szCs w:val="20"/>
        </w:rPr>
        <w:t xml:space="preserve">. Genta Publishing.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Chazawi, A. (2003). </w:t>
      </w:r>
      <w:r>
        <w:rPr>
          <w:rFonts w:cs="Segoe UI"/>
          <w:sz w:val="20"/>
          <w:szCs w:val="20"/>
          <w:i/>
          <w:iCs/>
        </w:rPr>
        <w:t xml:space="preserve">Kejahatan terhadap harta benda</w:t>
      </w:r>
      <w:r>
        <w:rPr>
          <w:rFonts w:cs="Segoe UI"/>
          <w:sz w:val="20"/>
          <w:szCs w:val="20"/>
        </w:rPr>
        <w:t xml:space="preserve">. Bayu Media.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Hamzah, A. (2011). </w:t>
      </w:r>
      <w:r>
        <w:rPr>
          <w:rFonts w:cs="Segoe UI"/>
          <w:sz w:val="20"/>
          <w:szCs w:val="20"/>
          <w:i/>
          <w:iCs/>
        </w:rPr>
        <w:t xml:space="preserve">Hukum acara pidana Indonesia</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Karim. (2020). </w:t>
      </w:r>
      <w:r>
        <w:rPr>
          <w:rFonts w:cs="Segoe UI"/>
          <w:sz w:val="20"/>
          <w:szCs w:val="20"/>
          <w:i/>
          <w:iCs/>
        </w:rPr>
        <w:t xml:space="preserve">Karakteristik penyelesaian perkara tindak pidana ringan melalui restorative justice</w:t>
      </w:r>
      <w:r>
        <w:rPr>
          <w:rFonts w:cs="Segoe UI"/>
          <w:sz w:val="20"/>
          <w:szCs w:val="20"/>
        </w:rPr>
        <w:t xml:space="preserve">. Jakad Media Publishing.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Konoras, I. K. (2023). Penghentian penyidikan dan penuntutan guna mewujudkan keadilan restoratif. </w:t>
      </w:r>
      <w:r>
        <w:rPr>
          <w:rFonts w:cs="Segoe UI"/>
          <w:sz w:val="20"/>
          <w:szCs w:val="20"/>
          <w:i/>
          <w:iCs/>
        </w:rPr>
        <w:t xml:space="preserve">Tumou Tou Law Review</w:t>
      </w:r>
      <w:r>
        <w:rPr>
          <w:rFonts w:cs="Segoe UI"/>
          <w:sz w:val="20"/>
          <w:szCs w:val="20"/>
        </w:rPr>
        <w:t xml:space="preserve">.</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Liebmann, M. (2007). </w:t>
      </w:r>
      <w:r>
        <w:rPr>
          <w:rFonts w:cs="Segoe UI"/>
          <w:sz w:val="20"/>
          <w:szCs w:val="20"/>
          <w:i/>
          <w:iCs/>
        </w:rPr>
        <w:t xml:space="preserve">Restorative justice: How it works</w:t>
      </w:r>
      <w:r>
        <w:rPr>
          <w:rFonts w:cs="Segoe UI"/>
          <w:sz w:val="20"/>
          <w:szCs w:val="20"/>
        </w:rPr>
        <w:t xml:space="preserve">. Jessica Kingsley Publishers.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Mahkamah Agung Republik Indonesia. (2026, 16 Januari). </w:t>
      </w:r>
      <w:r>
        <w:rPr>
          <w:rFonts w:cs="Segoe UI"/>
          <w:sz w:val="20"/>
          <w:szCs w:val="20"/>
          <w:i/>
          <w:iCs/>
        </w:rPr>
        <w:t xml:space="preserve">Mekanisme keadilan restoratif dalam KUHAP 2025</w:t>
      </w:r>
      <w:r>
        <w:rPr>
          <w:rFonts w:cs="Segoe UI"/>
          <w:sz w:val="20"/>
          <w:szCs w:val="20"/>
        </w:rPr>
        <w:t xml:space="preserve">. MARINews. https://marinews.mahkamahagung.go.id/artikel/mekanisme-keadilan-restoratif-dalam-kuhap-2025-0LZ</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Marpaung, L. (2005). </w:t>
      </w:r>
      <w:r>
        <w:rPr>
          <w:rFonts w:cs="Segoe UI"/>
          <w:sz w:val="20"/>
          <w:szCs w:val="20"/>
          <w:i/>
          <w:iCs/>
        </w:rPr>
        <w:t xml:space="preserve">Asas–teori–praktik hukum pidana</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Priyatno, D. (2013). </w:t>
      </w:r>
      <w:r>
        <w:rPr>
          <w:rFonts w:cs="Segoe UI"/>
          <w:sz w:val="20"/>
          <w:szCs w:val="20"/>
          <w:i/>
          <w:iCs/>
        </w:rPr>
        <w:t xml:space="preserve">Sistem pelaksanaan pidana penjara di Indonesia</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Purba, J. (2017). </w:t>
      </w:r>
      <w:r>
        <w:rPr>
          <w:rFonts w:cs="Segoe UI"/>
          <w:sz w:val="20"/>
          <w:szCs w:val="20"/>
          <w:i/>
          <w:iCs/>
        </w:rPr>
        <w:t xml:space="preserve">Penegakan hukum terhadap tindak pidana bermotif ringan dengan restorative justice</w:t>
      </w:r>
      <w:r>
        <w:rPr>
          <w:rFonts w:cs="Segoe UI"/>
          <w:sz w:val="20"/>
          <w:szCs w:val="20"/>
        </w:rPr>
        <w:t xml:space="preserve">. Jala Permata Aksara.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Pusiknas Bareskrim Polri. (2026). </w:t>
      </w:r>
      <w:r>
        <w:rPr>
          <w:rFonts w:cs="Segoe UI"/>
          <w:sz w:val="20"/>
          <w:szCs w:val="20"/>
          <w:i/>
          <w:iCs/>
        </w:rPr>
        <w:t xml:space="preserve">KUHP baru berlaku, penanganan pencurian masuk babak baru</w:t>
      </w:r>
      <w:r>
        <w:rPr>
          <w:rFonts w:cs="Segoe UI"/>
          <w:sz w:val="20"/>
          <w:szCs w:val="20"/>
        </w:rPr>
        <w:t xml:space="preserve">. https://pusiknas.polri.go.id/detail_artikel/kuhp_baru_berlaku,_penanganan_pencurian_masuk_babak_baru</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Sinaga, D. (2017). </w:t>
      </w:r>
      <w:r>
        <w:rPr>
          <w:rFonts w:cs="Segoe UI"/>
          <w:sz w:val="20"/>
          <w:szCs w:val="20"/>
          <w:i/>
          <w:iCs/>
        </w:rPr>
        <w:t xml:space="preserve">Penegakan hukum dengan pendekatan diversi (Perspektif teori keadilan bermartabat)</w:t>
      </w:r>
      <w:r>
        <w:rPr>
          <w:rFonts w:cs="Segoe UI"/>
          <w:sz w:val="20"/>
          <w:szCs w:val="20"/>
        </w:rPr>
        <w:t xml:space="preserve">. Nusa Media.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Yusuf, A. (2016). </w:t>
      </w:r>
      <w:r>
        <w:rPr>
          <w:rFonts w:cs="Segoe UI"/>
          <w:sz w:val="20"/>
          <w:szCs w:val="20"/>
          <w:i/>
          <w:iCs/>
        </w:rPr>
        <w:t xml:space="preserve">Implementasi restorative justice dalam penegakan hukum oleh Polri demi mewujudkan keadilan substantif</w:t>
      </w:r>
      <w:r>
        <w:rPr>
          <w:rFonts w:cs="Segoe UI"/>
          <w:sz w:val="20"/>
          <w:szCs w:val="20"/>
        </w:rPr>
        <w:t xml:space="preserve">. Penerbit Universitas Trisakti.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Zulfa, E. A. (2009). </w:t>
      </w:r>
      <w:r>
        <w:rPr>
          <w:rFonts w:cs="Segoe UI"/>
          <w:sz w:val="20"/>
          <w:szCs w:val="20"/>
          <w:i/>
          <w:iCs/>
        </w:rPr>
        <w:t xml:space="preserve">Keadilan restoratif</w:t>
      </w:r>
      <w:r>
        <w:rPr>
          <w:rFonts w:cs="Segoe UI"/>
          <w:sz w:val="20"/>
          <w:szCs w:val="20"/>
        </w:rPr>
        <w:t xml:space="preserve">. Badan Penerbit Fakultas Hukum Universitas Indonesia.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Kejaksaan Republik Indonesia Nomor 15 Tahun 2020 tentang Penghentian Penuntutan Berdasarkan Keadilan Restoratif.</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Kepolisian Negara Republik Indonesia Nomor 8 Tahun 2021 tentang Penanganan Tindak Pidana Berdasarkan Keadilan Restoratif.</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Mahkamah Agung Republik Indonesia Nomor 1 Tahun 2024 tentang Pedoman Mengadili Perkara Pidana Berdasarkan Keadilan Restoratif.</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11 Tahun 2012 tentang Sistem Peradilan Pidana Anak.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Pristy Injilia Sarmaulina Saragih</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