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Pemilihan Dakwaan Alternatif dan Mandat Rehabilitasi Penyalah Guna Narkotika Golongan I</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Rasbaya Parianto Purba</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rasbaya@ukipaulus.ac.id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narcotics abuser, alternative indictment, rehabilitation, judicial reasoning, integrated assessment, proportionality of punishment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penyalah guna narkotika, dakwaan alternatif, rehabilitasi, pertimbangan hakim, asesmen terpadu, proporsionalitas pemidanaan</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Narcotics prosecutions in Indonesia routinely stack several alternative charges, so the panel's choice among them determines whether a defendant is treated as a trafficker, a possessor, or an abuser. This study examines the prosecutor's indictment and the panel's legal reasoning in Makassar District Court Decision Number 305/Pid.Sus/2024/PN Mks. The research is normative legal research employing a legal case study approach supported by statutory and conceptual approaches, analysed descriptively and qualitatively. The findings show that the three-layered indictment was properly constructed and that the panel correctly selected the third alternative, the abuser provision, because the evidence weighed far below the threshold set by Supreme Court guidance and the substance was consumed personally. The study argues, however, that the decision omits any consideration of rehabilitation, although the abuser provision obliges judges to have regard to the rehabilitation clauses of the narcotics law. The sentence of one year and eight months represents roughly forty percent of the statutory maximum and is therefore not low; the real gap lies in the absence of assessment and rehabilitation rather than in the length of imprisonment.</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Penuntutan perkara narkotika di Indonesia lazim menyusun beberapa dakwaan alternatif secara berlapis, sehingga pilihan majelis hakim di antara lapisan itu menentukan apakah terdakwa diperlakukan sebagai pengedar, penguasa narkotika, atau penyalah guna. Penelitian ini mengkaji dakwaan penuntut umum dan pertimbangan hukum majelis hakim dalam Putusan Pengadilan Negeri Makassar Nomor 305/Pid.Sus/2024/PN Mks. Penelitian ini merupakan penelitian hukum normatif dengan pendekatan studi kasus hukum yang ditopang pendekatan peraturan perundang-undangan dan pendekatan konseptual, dianalisis secara deskriptif kualitatif. Hasil penelitian menunjukkan dakwaan tiga lapis disusun secara tepat dan majelis hakim benar ketika memilih dakwaan alternatif ketiga, yaitu ketentuan penyalah guna, karena berat barang bukti jauh di bawah ambang pedoman Mahkamah Agung dan narkotika dikonsumsi sendiri. Penelitian ini berargumentasi bahwa putusan tidak memuat pertimbangan mengenai rehabilitasi, padahal ketentuan penyalah guna mewajibkan hakim memperhatikan ketentuan rehabilitasi dalam undang-undang narkotika. Pidana penjara satu tahun delapan bulan merupakan sekitar empat puluh persen dari ancaman maksimum sehingga tidak dapat disebut rendah; kesenjangan yang sesungguhnya terletak pada tiadanya asesmen dan rehabilitasi, bukan pada lamanya pidana penjara.</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Penyalahgunaan narkotika telah lama diposisikan sebagai persoalan yang merusak kesehatan individu, ketahanan keluarga, dan stabilitas sosial. Undang-Undang Nomor 35 Tahun 2009 tentang Narkotika menempatkan dua tujuan sekaligus, yaitu memberantas peredaran gelap dan menjamin pengaturan upaya rehabilitasi bagi penyalah guna serta pecandu. Dua tujuan itu tidak selalu mudah dipertemukan dalam praktik, sebab keduanya menuntut perlakuan yang berbeda terhadap subjek yang berbeda pula (Mardani, 2008).</w:t>
      </w:r>
    </w:p>
    <w:p>
      <w:pPr>
        <w:pStyle w:val="IEEEParagraph"/>
        <w:ind w:left="567" w:right="322" w:firstLine="567"/>
        <w:rPr>
          <w:rFonts w:ascii="Segoe UI" w:hAnsi="Segoe UI" w:cs="Segoe UI"/>
          <w:sz w:val="22"/>
          <w:szCs w:val="22"/>
        </w:rPr>
      </w:pPr>
      <w:r>
        <w:rPr>
          <w:rFonts w:ascii="Segoe UI" w:hAnsi="Segoe UI" w:cs="Segoe UI"/>
          <w:sz w:val="22"/>
          <w:szCs w:val="22"/>
        </w:rPr>
        <w:t xml:space="preserve">Kesulitan mempertemukan kedua tujuan tersebut tampak pada struktur norma undang-undang itu sendiri. Pasal 114 ayat (1) ditujukan pada perbuatan yang berorientasi pada peredaran gelap, Pasal 112 ayat (1) ditujukan pada penguasaan narkotika Golongan I bukan tanaman di luar tujuan medis, sedangkan Pasal 127 ayat (1) huruf a ditujukan pada penyalah guna narkotika Golongan I bagi diri sendiri. Ketiganya dapat sama-sama terpenuhi oleh satu rangkaian perbuatan seorang pemakai yang membeli narkotika untuk dikonsumsi sendiri, sebab membeli sekaligus berarti menguasai dan sekaligus berarti menyalahgunakan.</w:t>
      </w:r>
    </w:p>
    <w:p>
      <w:pPr>
        <w:pStyle w:val="IEEEParagraph"/>
        <w:ind w:left="567" w:right="322" w:firstLine="567"/>
        <w:rPr>
          <w:rFonts w:ascii="Segoe UI" w:hAnsi="Segoe UI" w:cs="Segoe UI"/>
          <w:sz w:val="22"/>
          <w:szCs w:val="22"/>
        </w:rPr>
      </w:pPr>
      <w:r>
        <w:rPr>
          <w:rFonts w:ascii="Segoe UI" w:hAnsi="Segoe UI" w:cs="Segoe UI"/>
          <w:sz w:val="22"/>
          <w:szCs w:val="22"/>
        </w:rPr>
        <w:t xml:space="preserve">Karena irisan unsur itu, penuntut umum lazim menyusun dakwaan berbentuk alternatif secara berlapis, dan pilihan majelis hakim di antara lapisan tersebut menjadi penentu. Memilih lapis pertama berarti memperlakukan terdakwa sebagai bagian dari peredaran gelap dengan ancaman pidana yang sangat berat; memilih lapis ketiga berarti memperlakukannya sebagai penyalah guna dengan ancaman yang jauh lebih ringan dan dengan konsekuensi hukum yang berbeda pula. Secara dogmatis, pilihan itu harus bertolak dari kesesuaian antara fakta hukum dan rumusan unsur, bukan dari pertimbangan di luar hukum (Ilyas, 2012).</w:t>
      </w:r>
    </w:p>
    <w:p>
      <w:pPr>
        <w:pStyle w:val="IEEEParagraph"/>
        <w:ind w:left="567" w:right="322" w:firstLine="567"/>
        <w:rPr>
          <w:rFonts w:ascii="Segoe UI" w:hAnsi="Segoe UI" w:cs="Segoe UI"/>
          <w:sz w:val="22"/>
          <w:szCs w:val="22"/>
        </w:rPr>
      </w:pPr>
      <w:r>
        <w:rPr>
          <w:rFonts w:ascii="Segoe UI" w:hAnsi="Segoe UI" w:cs="Segoe UI"/>
          <w:sz w:val="22"/>
          <w:szCs w:val="22"/>
        </w:rPr>
        <w:t xml:space="preserve">Pilihan itu juga menyentuh persoalan yang lebih mendasar, yaitu bagaimana suatu perbuatan dikualifikasikan. Rumusan delik berfungsi membatasi jangkauan pemidanaan, sehingga terpenuhinya unsur secara harfiah tidak dengan sendirinya berarti bahwa ketentuan itulah yang paling tepat diterapkan (Moeljatno, 2015). Pada delik narkotika, persoalan tersebut bertambah rumit karena pembentuk undang-undang menyusun beberapa ketentuan yang bertingkat beratnya untuk melindungi kepentingan hukum yang sama, sehingga stelsel pidananya menuntut kecermatan dalam menakar derajat kesalahan pelaku (Chazawi, 2002). Kecermatan itu pula yang menjadi batas antara penegakan hukum yang proporsional dan pemidanaan yang berlebihan, sebab asas legalitas melarang penafsiran yang memperluas jangkauan norma melampaui teksnya (Hamzah, 1994).</w:t>
      </w:r>
    </w:p>
    <w:p>
      <w:pPr>
        <w:pStyle w:val="IEEEParagraph"/>
        <w:ind w:left="567" w:right="322" w:firstLine="567"/>
        <w:rPr>
          <w:rFonts w:ascii="Segoe UI" w:hAnsi="Segoe UI" w:cs="Segoe UI"/>
          <w:sz w:val="22"/>
          <w:szCs w:val="22"/>
        </w:rPr>
      </w:pPr>
      <w:r>
        <w:rPr>
          <w:rFonts w:ascii="Segoe UI" w:hAnsi="Segoe UI" w:cs="Segoe UI"/>
          <w:sz w:val="22"/>
          <w:szCs w:val="22"/>
        </w:rPr>
        <w:t xml:space="preserve">Putusan Pengadilan Negeri Makassar Nomor 305/Pid.Sus/2024/PN Mks memperlihatkan persoalan tersebut secara konkret. Terdakwa memesan narkotika jenis sabu melalui sebuah akun media sosial, membayar melalui layanan perbankan pihak ketiga, mengambil barang di titik yang dikirimkan penjual, lalu mengonsumsinya bersama seorang saksi secara bergantian di rumahnya. Barang bukti yang disita berupa satu set alat isap beserta kaca pireks berisi sabu dengan berat awal 0,0278 gram. Penuntut umum menyusun dakwaan alternatif tiga lapis, dan majelis hakim memilih lapis ketiga serta menjatuhkan pidana penjara satu tahun delapan bulan.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hukum yang muncul bersifat berlapis. Pada lapis pertama terdapat pertanyaan mengenai ketepatan konstruksi dakwaan, yaitu apakah penyusunan tiga lapis itu memiliki dasar faktual dan apakah urutannya mencerminkan derajat perbuatan. Pada lapis kedua terdapat pertanyaan mengenai kualitas pertimbangan hakim, yaitu apakah pemilihan lapis ketiga disertai pengujian seluruh unsur dan apakah putusan telah menjalankan seluruh kewajiban yang melekat pada ketentuan yang dipilih, termasuk kewajiban memperhatikan ketentuan rehabilitasi.</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pemidanaan perkara narkotika di Indonesia telah berkembang cukup lama. Mardani (2008) menelaah penyalahgunaan narkoba dalam perspektif hukum pidana nasional, Mandagi (1995) menyoroti masalah narkotika dan penanggulangannya, sedangkan Mulyadi (2010) mengkaji anatomi putusan hakim dalam hukum acara pidana. Kajian-kajian tersebut berjasa membangun kerangka konseptual, tetapi umumnya berhenti pada tataran norma dan belum menguji secara rinci apakah pemilihan salah satu dakwaan alternatif diikuti oleh pelaksanaan seluruh kewajiban yang melekat pada ketentuan yang dipilih.</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menempatkan pilihan dakwaan sebagai titik awal, bukan titik akhir analisis. Pertanyaan yang diajukan bukan sekadar apakah majelis memilih pasal yang tepat, melainkan apakah konsekuensi normatif dari pilihan itu turut dijalankan. Penelitian ini juga menempatkan putusan pada titik transisi sistem pemidanaan nasional, sebab sejak 2 Januari 2026 berlaku Undang-Undang Nomor 1 Tahun 2023 tentang Kitab Undang-Undang Hukum Pidana bersama Undang-Undang Nomor 1 Tahun 2026 tentang Penyesuaian Pidana yang mengubah peta keberlakuan sebagian ketentuan dalam undang-undang narkotika. Dimensi transisional itu belum dijangkau kajian terdahulu.</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dakwaan penuntut umum dalam tindak pidana penyalahgunaan narkotika Golongan I berdasarkan Putusan Nomor 305/Pid.Sus/2024/PN Mks; kedua, menganalisis pertimbangan hukum hakim dalam putusan tersebut. Secara teoretis, penelitian ini berkontribusi pada kajian pemidanaan narkotika dengan memperlihatkan hubungan antara pemilihan kualifikasi delik dan kewajiban rehabilitasi yang menyertainya. Secara praktis, hasil penelitian ini dapat menjadi rujukan bagi penuntut umum dalam menyusun dakwaan berlapis dan bagi hakim dalam menyusun pertimbangan pemidanaan pada perkara penyalah guna.</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penelitian yang menempatkan norma hukum dan pertimbangan hakim sebagai objek kajian utama. Pilihan tersebut ditentukan oleh karakter kedua permasalahan yang dirumuskan, yang sama-sama menuntut pengujian atas kesesuaian antara norma dan fakta hukum, bukan pengukuran variabel maupun pengujian hipotesis (Sunggono, 2003).</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utama yang digunakan adalah pendekatan studi kasus hukum (</w:t>
      </w:r>
      <w:r>
        <w:rPr>
          <w:rFonts w:ascii="Segoe UI" w:hAnsi="Segoe UI" w:cs="Segoe UI"/>
          <w:sz w:val="22"/>
          <w:szCs w:val="22"/>
          <w:i/>
          <w:iCs/>
        </w:rPr>
        <w:t xml:space="preserve">legal case study approach</w:t>
      </w:r>
      <w:r>
        <w:rPr>
          <w:rFonts w:ascii="Segoe UI" w:hAnsi="Segoe UI" w:cs="Segoe UI"/>
          <w:sz w:val="22"/>
          <w:szCs w:val="22"/>
        </w:rPr>
        <w:t xml:space="preserve">) terhadap Putusan Pengadilan Negeri Makassar Nomor 305/Pid.Sus/2024/PN Mks. Pendekatan tersebut ditopang oleh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untuk menelaah rumusan unsur, ancaman pidana, dan kewajiban yang melekat pada tiap ketentuan yang didakwakan, serta pendekatan konseptual (</w:t>
      </w:r>
      <w:r>
        <w:rPr>
          <w:rFonts w:ascii="Segoe UI" w:hAnsi="Segoe UI" w:cs="Segoe UI"/>
          <w:sz w:val="22"/>
          <w:szCs w:val="22"/>
          <w:i/>
          <w:iCs/>
        </w:rPr>
        <w:t xml:space="preserve">conceptual approach</w:t>
      </w:r>
      <w:r>
        <w:rPr>
          <w:rFonts w:ascii="Segoe UI" w:hAnsi="Segoe UI" w:cs="Segoe UI"/>
          <w:sz w:val="22"/>
          <w:szCs w:val="22"/>
        </w:rPr>
        <w:t xml:space="preserve">) untuk mendudukkan konsep penyalah guna, pengedar, rehabilitasi, dan proporsionalitas pemidanaan.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Ketiga pendekatan tersebut bekerja secara berlapis. Pendekatan kasus dipakai untuk merekonstruksi fakta hukum dan penalaran majelis; pendekatan perundang-undangan dipakai untuk menguji apakah ketentuan yang dipilih menjangkau perbuatan yang terbukti sekaligus kewajiban apa yang menyertai pilihan itu; sedangkan pendekatan konseptual dipakai untuk menilai kelayakan putusan yang dihasilkan. Perpaduan ini diperlukan karena permasalahan penelitian tidak berhenti pada pertanyaan apakah terdakwa terbukti bersalah, melainkan berlanjut pada pertanyaan apakah seluruh konsekuensi normatif dari pasal yang dipilih telah dijalankan.</w:t>
      </w:r>
    </w:p>
    <w:p>
      <w:pPr>
        <w:pStyle w:val="IEEEParagraph"/>
        <w:ind w:left="567" w:right="322"/>
      </w:pPr>
    </w:p>
    <w:p>
      <w:pPr>
        <w:pStyle w:val="Heading2"/>
        <w:ind w:right="322"/>
        <w:rPr>
          <w:rStyle w:val="mediumtext"/>
        </w:rPr>
      </w:pPr>
      <w:r>
        <w:rPr>
          <w:rStyle w:val="mediumtext"/>
        </w:rPr>
        <w:t xml:space="preserve">2.2 Lokasi Penelitian,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Pengadilan Negeri Makassar sebagai pengadilan yang menjatuhkan putusan yang dikaji. Data primer diperoleh dari lapangan dengan mengadakan wawancara secara langsung dengan pihak yang terkait dengan penelitian ini, sedangkan data sekunder diperoleh melalui studi kepustakaan berupa buku, peraturan perundang-undangan, dan dokumen lain yang berkaitan langsung dengan masalah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terdiri atas Putusan Nomor 305/Pid.Sus/2024/PN Mks beserta surat dakwaan, keterangan saksi dan terdakwa, hasil pemeriksaan laboratoris, serta daftar barang bukti yang melekat padanya; Kitab Undang-Undang Hukum Pidana; Undang-Undang Nomor 8 Tahun 1981 tentang Hukum Acara Pidana; Undang-Undang Nomor 35 Tahun 2009 tentang Narkotika; Undang-Undang Nomor 1 Tahun 2023 tentang Kitab Undang-Undang Hukum Pidana; Undang-Undang Nomor 20 Tahun 2025 tentang Kitab Undang-Undang Hukum Acara Pidana; Undang-Undang Nomor 1 Tahun 2026 tentang Penyesuaian Pidana; serta Surat Edaran Mahkamah Agung Nomor 4 Tahun 2010 dan Surat Edaran Mahkamah Agung Nomor 3 Tahun 2015. Bahan hukum sekunder berupa buku hukum pidana, artikel jurnal, dan publikasi resmi lembaga negara yang relevan.</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data ditempuh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yaitu penelaahan bahan pustaka termasuk buku, peraturan perundang-undangan, dan dokumen lain yang berkaitan dengan materi penelitian, serta melalui penelitian lapangan (</w:t>
      </w:r>
      <w:r>
        <w:rPr>
          <w:rFonts w:ascii="Segoe UI" w:hAnsi="Segoe UI" w:cs="Segoe UI"/>
          <w:sz w:val="22"/>
          <w:szCs w:val="22"/>
          <w:i/>
          <w:iCs/>
        </w:rPr>
        <w:t xml:space="preserve">field research</w:t>
      </w:r>
      <w:r>
        <w:rPr>
          <w:rFonts w:ascii="Segoe UI" w:hAnsi="Segoe UI" w:cs="Segoe UI"/>
          <w:sz w:val="22"/>
          <w:szCs w:val="22"/>
        </w:rPr>
        <w:t xml:space="preserve">) berupa pengamatan langsung, penelaahan, dan analisis terhadap pertimbangan hukum hakim pada perkara yang dikaji (Waluyo, 1996).</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putusan dijatuhkan, penelusuran diarahkan pada teks undang-undang beserta ketentuan peralihannya, bukan pada tulisan populer, agar setiap pernyataan mengenai keberlakuan norma dapat diverifikasi sumbernya. Bahan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yang diperoleh disusun, diuraikan, dan dianalisis secara kualitatif serta dipaparkan secara deskriptif. Analisis ditempuh melalui alur berjenjang, yaitu identifikasi fakta hukum yang terungkap di persidangan, identifikasi rumusan unsur pada tiap ketentuan yang didakwakan, pengujian kesesuaian antara fakta dan unsur, penilaian atas pertimbangan majelis hakim, dan perumusan argumentasi penulis.</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permasalahan kedua, analisis dilanjutkan dengan dua langkah tambahan. Pertama, pengukuran proporsionalitas dengan menyandingkan pidana yang dijatuhkan terhadap ancaman pidana maksimum pada ketentuan yang dipilih. Kedua, penelusuran kewajiban normatif yang melekat pada ketentuan tersebut, kemudian pemeriksaan apakah kewajiban itu tercermin dalam pertimbangan dan amar putusan. Langkah kedua diperlukan agar penilaian tidak berhenti pada berat ringannya pidana.</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fakta perkara dilacak kembali pada dokumen putusan sehingga tidak ada fakta yang ditambahkan dari luar berkas. Kedua, setiap penilaian normatif diuji dengan menyandingkannya pada pandangan yang berbeda, khususnya pandangan yang menekankan kemerdekaan hakim dalam menentukan berat pidana, agar argumentasi yang dibangun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putusan sehingga tidak dimaksudkan menggeneralisasi praktik peradilan perkara narkotika secara nasional; nilai penelitian terletak pada kedalaman analisis terhadap konstruksi penalaran hukum, bukan pada keterwakilan statistik. Penilaian terhadap regulasi terbaru dibatasi pada aspek rumusan unsur, ancaman pidana, dan status keberlakuan ketentuan, serta tidak mencakup evaluasi empiris atas penerapannya. Kesimpulan yang ditarik berlaku pada tataran konstruksi hukum dan bukan merupakan penilaian atas kinerja aparat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konstruksi dakwaan penuntut umum, sedangkan subbagian 3.2 menganalisis pertimbangan hukum majelis hakim beserta konsekuensi normatif dari ketentuan yang dipilih.</w:t>
      </w:r>
    </w:p>
    <w:p>
      <w:pPr>
        <w:pStyle w:val="IEEEParagraph"/>
        <w:ind w:left="567" w:right="322"/>
      </w:pPr>
    </w:p>
    <w:p>
      <w:pPr>
        <w:pStyle w:val="Heading2"/>
        <w:ind w:right="322"/>
        <w:rPr>
          <w:rStyle w:val="mediumtext"/>
        </w:rPr>
      </w:pPr>
      <w:r>
        <w:rPr>
          <w:rStyle w:val="mediumtext"/>
        </w:rPr>
        <w:t xml:space="preserve">3.1 Konstruksi Dakwaan Alternatif Berlapis Penuntut Umum</w:t>
      </w:r>
    </w:p>
    <w:p>
      <w:pPr>
        <w:pStyle w:val="IEEEParagraph"/>
        <w:ind w:left="567" w:right="322" w:firstLine="567"/>
        <w:rPr>
          <w:rFonts w:ascii="Segoe UI" w:hAnsi="Segoe UI" w:cs="Segoe UI"/>
          <w:sz w:val="22"/>
          <w:szCs w:val="22"/>
        </w:rPr>
      </w:pPr>
      <w:r>
        <w:rPr>
          <w:rFonts w:ascii="Segoe UI" w:hAnsi="Segoe UI" w:cs="Segoe UI"/>
          <w:sz w:val="22"/>
          <w:szCs w:val="22"/>
        </w:rPr>
        <w:t xml:space="preserve">Fakta hukum yang menjadi dasar dakwaan dapat diringkas sebagai berikut. Pada malam hari terdakwa memesan narkotika jenis sabu melalui sebuah akun media sosial menggunakan akun miliknya sendiri, menyepakati paket seharga seratus lima puluh ribu rupiah, lalu menyuruh seorang saksi mentransfer pembayaran melalui layanan perbankan pihak ketiga. Penjual mengirimkan titik lokasi melalui peta digital, dan terdakwa bersama saksi tersebut mengambil barang di lokasi yang ditunjuk. Sesampainya di rumah, keduanya langsung mengonsumsi sabu tersebut secara bergantian. Petugas kepolisian kemudian mendatangi rumah terdakwa dan menyita satu set alat isap beserta kaca pireks berisi sabu dengan berat awal 0,0278 gram serta telepon genggam yang digunakan untuk memesan. Terdakwa bukan berprofesi sebagai dokter maupun apoteker dan tidak memiliki izin apa pun untuk menguasai narkotika.</w:t>
      </w:r>
    </w:p>
    <w:p>
      <w:pPr>
        <w:pStyle w:val="IEEEParagraph"/>
        <w:ind w:left="567" w:right="322" w:firstLine="567"/>
        <w:rPr>
          <w:rFonts w:ascii="Segoe UI" w:hAnsi="Segoe UI" w:cs="Segoe UI"/>
          <w:sz w:val="22"/>
          <w:szCs w:val="22"/>
        </w:rPr>
      </w:pPr>
      <w:r>
        <w:rPr>
          <w:rFonts w:ascii="Segoe UI" w:hAnsi="Segoe UI" w:cs="Segoe UI"/>
          <w:sz w:val="22"/>
          <w:szCs w:val="22"/>
        </w:rPr>
        <w:t xml:space="preserve">Atas peristiwa tersebut penuntut umum menyusun surat dakwaan berbentuk alternatif dengan tiga lapis. Bentuk alternatif lazim dipilih ketika penuntut umum belum memperoleh keyakinan penuh mengenai kualifikasi yuridis yang paling tepat atas satu peristiwa yang unsurnya beririsan, sehingga hakim diberi ruang memilih dakwaan yang terbukti tanpa harus lebih dahulu memutus dakwaan lainnya. Surat dakwaan sendiri wajib memenuhi syarat formal dan syarat materiil sebagaimana dimaksud Pasal 143 ayat (2) Undang-Undang Nomor 8 Tahun 1981. Tabel 1 memperbandingkan ketiga lapis dakwaan tersebut.</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Perbandingan Dakwaan Alternatif Berlapis, Inti Perbuatan, dan Kesesuaiannya dengan Fakta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000"/>
        <w:gridCol w:w="2500"/>
        <w:gridCol w:w="2100"/>
        <w:gridCol w:w="2426"/>
      </w:tblGrid>
      <w:tr>
        <w:trPr>
          <w:cantSplit/>
          <w:tblHeader/>
        </w:trPr>
        <w:tc>
          <w:tcPr>
            <w:tcW w:w="20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Dakwaan dan Dasar Hukum</w:t>
            </w:r>
          </w:p>
        </w:tc>
        <w:tc>
          <w:tcPr>
            <w:tcW w:w="2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Inti Perbuatan yang Dilarang</w:t>
            </w:r>
          </w:p>
        </w:tc>
        <w:tc>
          <w:tcPr>
            <w:tcW w:w="21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Ancaman Pidana Penjara</w:t>
            </w:r>
          </w:p>
        </w:tc>
        <w:tc>
          <w:tcPr>
            <w:tcW w:w="24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Kesesuaian dengan Fakta Persidangan</w:t>
            </w:r>
          </w:p>
        </w:tc>
      </w:tr>
      <w:tr>
        <w:trPr>
          <w:cantSplit/>
        </w:trPr>
        <w:tc>
          <w:tcPr>
            <w:tcW w:w="20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Kesatu: Pasal 114 ayat (1) UU No. 35 Tahun 2009 jo. Pasal 55 ayat (1) ke-1 KUHP</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Menawarkan untuk dijual, menjual, membeli, menerima, menjadi perantara, menukar, atau menyerahkan narkotika Golongan I; berorientasi pada peredaran gelap</w:t>
            </w:r>
          </w:p>
        </w:tc>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Paling singkat 5 tahun dan paling lama 20 tahun, atau penjara seumur hidup</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sesuai; tidak ditemukan fakta penjualan, penyerahan, atau keuntungan ekonomi</w:t>
            </w:r>
          </w:p>
        </w:tc>
      </w:tr>
      <w:tr>
        <w:trPr>
          <w:cantSplit/>
        </w:trPr>
        <w:tc>
          <w:tcPr>
            <w:tcW w:w="20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Kedua: Pasal 112 ayat (1) UU No. 35 Tahun 2009 jo. Pasal 55 ayat (1) ke-1 KUHP</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Tanpa hak atau melawan hukum memiliki, menyimpan, menguasai, atau menyediakan narkotika Golongan I bukan tanaman</w:t>
            </w:r>
          </w:p>
        </w:tc>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Paling singkat 4 tahun dan paling lama 12 tahun</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 terpenuhi secara harfiah, tetapi tidak mencerminkan peran faktual terdakwa</w:t>
            </w:r>
          </w:p>
        </w:tc>
      </w:tr>
      <w:tr>
        <w:trPr>
          <w:cantSplit/>
        </w:trPr>
        <w:tc>
          <w:tcPr>
            <w:tcW w:w="20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Ketiga: Pasal 127 ayat (1) huruf a UU No. 35 Tahun 2009</w:t>
            </w:r>
          </w:p>
        </w:tc>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Menyalahgunakan narkotika Golongan I bagi diri sendiri</w:t>
            </w:r>
          </w:p>
        </w:tc>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Paling lama 4 tahun, tanpa ancaman minimum khusus</w:t>
            </w:r>
          </w:p>
        </w:tc>
        <w:tc>
          <w:tcPr>
            <w:tcW w:w="24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Sesuai secara langsung; narkotika dibeli dan dikonsumsi sendiri bersama satu orang</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305/Pid.Sus/2024/PN Mks (2024) dan UU No. 35 Tahun 2009</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penyusunan dakwaan berlapis tersebut memiliki dasar faktual dan urutannya logis karena bergerak dari perbuatan yang paling berat menuju yang paling ringan. Rangkaian perbuatan terdakwa memang dapat dibaca dari tiga sudut: membeli dapat dikaitkan dengan Pasal 114 ayat (1), memegang dan menyimpan dapat dikaitkan dengan Pasal 112 ayat (1), sedangkan mengonsumsi sendiri dikaitkan dengan Pasal 127 ayat (1) huruf a. Struktur demikian memberi ruang bagi majelis untuk menentukan kualifikasi yang paling sesuai berdasarkan fakta yang terungkap.</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demikian, terdapat catatan yang perlu dikemukakan. Perbedaan ancaman pidana antarlapis sangat lebar, dari ancaman paling singkat lima tahun pada lapis pertama sampai ancaman paling lama empat tahun tanpa minimum khusus pada lapis ketiga. Rentang selebar itu berarti nasib terdakwa sangat bergantung pada pilihan majelis, sehingga uraian fakta dalam surat dakwaan seharusnya sejak awal menegaskan peran faktual terdakwa agar pilihan tersebut tidak bertumpu semata-mata pada penilaian di tahap akhir. Jika dikaitkan dengan fungsi surat dakwaan sebagai dasar sekaligus batas pemeriksaan perkara, penegasan peran faktual itu justru memperkuat kepastian hukum bagi semua pihak.</w:t>
      </w:r>
    </w:p>
    <w:p>
      <w:pPr>
        <w:pStyle w:val="IEEEParagraph"/>
        <w:ind w:left="567" w:right="322" w:firstLine="567"/>
        <w:rPr>
          <w:rFonts w:ascii="Segoe UI" w:hAnsi="Segoe UI" w:cs="Segoe UI"/>
          <w:sz w:val="22"/>
          <w:szCs w:val="22"/>
        </w:rPr>
      </w:pPr>
      <w:r>
        <w:rPr>
          <w:rFonts w:ascii="Segoe UI" w:hAnsi="Segoe UI" w:cs="Segoe UI"/>
          <w:sz w:val="22"/>
          <w:szCs w:val="22"/>
        </w:rPr>
        <w:t xml:space="preserve">Catatan berikutnya menyangkut penyertaan. Dakwaan lapis pertama dan kedua dirangkaikan dengan Pasal 55 ayat (1) ke-1 Kitab Undang-Undang Hukum Pidana karena perbuatan dilakukan bersama seorang saksi, sedangkan lapis ketiga tidak. Secara dogmatis hal itu tepat, sebab penyalahgunaan narkotika bagi diri sendiri bersifat pribadi sehingga tidak dapat dikonstruksikan sebagai turut serta: masing-masing pelaku menyalahgunakan untuk dirinya sendiri (Kanter &amp; Sianturi, 2002). Konsistensi ini menunjukkan bahwa penuntut umum memahami perbedaan karakter ketiga ketentuan yang didakwakan.</w:t>
      </w:r>
    </w:p>
    <w:p>
      <w:pPr>
        <w:pStyle w:val="IEEEParagraph"/>
        <w:ind w:left="567" w:right="322"/>
      </w:pPr>
    </w:p>
    <w:p>
      <w:pPr>
        <w:pStyle w:val="Heading2"/>
        <w:ind w:right="322"/>
        <w:rPr>
          <w:rStyle w:val="mediumtext"/>
        </w:rPr>
      </w:pPr>
      <w:r>
        <w:rPr>
          <w:rStyle w:val="mediumtext"/>
        </w:rPr>
        <w:t xml:space="preserve">3.2 Pertimbangan Hukum Hakim dan Kewajiban yang Melekat pada Ketentuan yang Dipilih</w:t>
      </w:r>
    </w:p>
    <w:p>
      <w:pPr>
        <w:pStyle w:val="IEEEParagraph"/>
        <w:ind w:left="567" w:right="322" w:firstLine="567"/>
        <w:rPr>
          <w:rFonts w:ascii="Segoe UI" w:hAnsi="Segoe UI" w:cs="Segoe UI"/>
          <w:sz w:val="22"/>
          <w:szCs w:val="22"/>
        </w:rPr>
      </w:pPr>
      <w:r>
        <w:rPr>
          <w:rFonts w:ascii="Segoe UI" w:hAnsi="Segoe UI" w:cs="Segoe UI"/>
          <w:sz w:val="22"/>
          <w:szCs w:val="22"/>
        </w:rPr>
        <w:t xml:space="preserve">Majelis hakim langsung memilih dakwaan alternatif ketiga dan menguji dua unsur, yaitu unsur setiap orang dan unsur penyalah guna narkotika Golongan I bagi diri sendiri. Unsur pertama dinilai terpenuhi karena terdakwa yang dihadapkan ke persidangan adalah orang yang identitasnya sesuai dengan surat dakwaan, sehat jasmani dan rohani, serta tidak ditemukan alasan penghapus pertanggungjawaban sebagaimana dimaksud Pasal 44 Kitab Undang-Undang Hukum Pidana. Unsur kedua dinilai terpenuhi berdasarkan keterangan saksi, pengakuan terdakwa, hasil pemeriksaan urine, dan barang bukti berupa alat isap beserta sisa sabu. Majelis kemudian menjatuhkan pidana penjara satu tahun delapan bulan dengan keadaan memberatkan berupa perbuatan terdakwa yang tidak mendukung program pemberantasan narkotika dan dapat merusak kesehatan diri sendiri maupun orang lain.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pemilihan dakwaan alternatif ketiga sudah tepat dan justru merupakan kekuatan utama putusan ini. Fakta persidangan memperlihatkan bahwa terdakwa membeli narkotika dengan nilai yang sangat kecil untuk dikonsumsi sendiri, tidak menjual, tidak menyerahkan kepada pihak lain di luar rekan konsumsinya, dan tidak memperoleh keuntungan ekonomi. Berat barang bukti pun jauh di bawah ambang yang ditetapkan pedoman Mahkamah Agung bagi kelompok metamfetamina. Dengan demikian majelis tidak terjebak pada penerapan harfiah Pasal 112 ayat (1) yang unsurnya sebenarnya juga terpenuhi, melainkan membaca peran faktual terdakwa. Tabel 2 menyandingkan aspek-aspek pokok putusan beserta catatan yuridisnya.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Aspek Pokok Putusan, Uraian, dan Catatan Yuridis</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200"/>
        <w:gridCol w:w="3200"/>
        <w:gridCol w:w="3626"/>
      </w:tblGrid>
      <w:tr>
        <w:trPr>
          <w:cantSplit/>
          <w:tblHeader/>
        </w:trPr>
        <w:tc>
          <w:tcPr>
            <w:tcW w:w="2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Aspek</w:t>
            </w:r>
          </w:p>
        </w:tc>
        <w:tc>
          <w:tcPr>
            <w:tcW w:w="3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Uraian dalam Putusan</w:t>
            </w:r>
          </w:p>
        </w:tc>
        <w:tc>
          <w:tcPr>
            <w:tcW w:w="36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Catatan Yuridis</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Berat barang bukti</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0,0278 gram (berat awal) dan 0,0172 gram (berat akhir)</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Jauh di bawah ambang satu gram bagi kelompok metamfetamina dalam pedoman Mahkamah Agung</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Peran faktual terdakwa</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Membeli dengan nilai kecil dan mengonsumsi sendiri bersama satu orang</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Sesuai dengan kualifikasi penyalah guna, bukan pengedar maupun perantara</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 ketentuan yang dipilih</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Paling lama 4 tahun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memuat ancaman minimum khusus sehingga ruang penilaian hakim luas</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yang dijatuhkan</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1 tahun 8 bulan penjara</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Sekitar empat puluh dua persen dari ancaman maksimum</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Pertimbangan rehabilitasi</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dimuat dalam pertimbangan maupun amar putusan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127 ayat (2) mewajibkan hakim memperhatikan ketentuan Pasal 54, Pasal 55, dan Pasal 103</w:t>
            </w:r>
          </w:p>
        </w:tc>
      </w:tr>
      <w:tr>
        <w:trPr>
          <w:cantSplit/>
        </w:trPr>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Status norma sejak 2 Januari 2026</w:t>
            </w:r>
          </w:p>
        </w:tc>
        <w:tc>
          <w:tcPr>
            <w:tcW w:w="3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114 dan Pasal 127 tetap berlaku; Pasal 112 dicabut</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Struktur dakwaan tiga lapis dengan susunan yang sama tidak lagi dapat diulang</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305/Pid.Sus/2024/PN Mks (2024), UU No. 35 Tahun 2009, SEMA No. 4 Tahun 2010, dan UU No. 1 Tahun 2026</w:t>
      </w:r>
    </w:p>
    <w:p>
      <w:pPr>
        <w:pStyle w:val="IEEEParagraph"/>
        <w:ind w:left="567" w:right="322" w:firstLine="567"/>
        <w:rPr>
          <w:rFonts w:ascii="Segoe UI" w:hAnsi="Segoe UI" w:cs="Segoe UI"/>
          <w:sz w:val="22"/>
          <w:szCs w:val="22"/>
        </w:rPr>
      </w:pPr>
      <w:r>
        <w:rPr>
          <w:rFonts w:ascii="Segoe UI" w:hAnsi="Segoe UI" w:cs="Segoe UI"/>
          <w:sz w:val="22"/>
          <w:szCs w:val="22"/>
        </w:rPr>
        <w:t xml:space="preserve">Tabel 2 memperlihatkan bahwa penilaian mengenai kelemahan putusan perlu diarahkan pada titik yang tepat. Pandangan yang menyatakan bahwa pidana satu tahun delapan bulan terlalu ringan perlu dicermati, sebab ancaman pada Pasal 127 ayat (1) huruf a adalah pidana penjara paling lama empat tahun. Frasa paling lama menunjukkan batas atas, bukan patokan yang seharusnya dijatuhkan, sehingga pidana satu tahun delapan bulan sesungguhnya berada pada kisaran empat puluh dua persen dari ancaman maksimum. Proporsi tersebut tidak dapat disebut rendah bagi delik yang tidak memiliki ancaman minimum khusus dan yang pelakunya terbukti hanya sebagai penyalah guna.</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kesenjangan yang sesungguhnya terletak pada aspek lain, yaitu tiadanya pertimbangan mengenai rehabilitasi. Pasal 127 ayat (2) menentukan bahwa dalam memutus perkara penyalah guna, hakim wajib memperhatikan ketentuan sebagaimana dimaksud dalam Pasal 54, Pasal 55, dan Pasal 103 undang-undang yang sama, yaitu ketentuan mengenai rehabilitasi medis dan sosial, kewajiban lapor pecandu, serta kewenangan hakim menetapkan perintah menjalani pengobatan atau perawatan. Kewajiban memperhatikan itu bersifat prosedural, artinya sekurang-kurangnya hakim harus menunjukkan bahwa ketentuan tersebut telah dipertimbangkan, sekalipun kesimpulannya kemudian menolak rehabilitasi.</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Ketiadaan pertimbangan itu menjadi lebih terasa apabila dihubungkan dengan fakta perkara. Berat barang bukti hanya 0,0278 gram, terdakwa mengaku baru pertama kali mengonsumsi sabu, hasil pemeriksaan urine menunjukkan keberadaan zat dalam tubuhnya, dan seluruh narkotika dikonsumsi sendiri. Rangkaian fakta itu justru merupakan indikator yang lazim dipakai untuk menilai perlu tidaknya asesmen terpadu. Argumentasi tersebut dapat dipahami karena tujuan undang-undang narkotika bukan semata-mata menghukum, melainkan juga memulihkan penyalah guna agar tidak kembali pada ketergantungan (Mardani, 2008).</w:t>
      </w:r>
    </w:p>
    <w:p>
      <w:pPr>
        <w:pStyle w:val="IEEEParagraph"/>
        <w:ind w:left="567" w:right="322" w:firstLine="567"/>
        <w:rPr>
          <w:rFonts w:ascii="Segoe UI" w:hAnsi="Segoe UI" w:cs="Segoe UI"/>
          <w:sz w:val="22"/>
          <w:szCs w:val="22"/>
        </w:rPr>
      </w:pPr>
      <w:r>
        <w:rPr>
          <w:rFonts w:ascii="Segoe UI" w:hAnsi="Segoe UI" w:cs="Segoe UI"/>
          <w:sz w:val="22"/>
          <w:szCs w:val="22"/>
        </w:rPr>
        <w:t xml:space="preserve">Posisi penulis pada titik ini bersifat berimbang. Rehabilitasi tidak dapat diberikan secara otomatis, sebab undang-undang menautkannya pada pembuktian bahwa yang bersangkutan merupakan korban penyalahgunaan, dan penilaian atas hal itu berada dalam kemerdekaan hakim. Yang menjadi catatan karenanya bukan tidak dijatuhkannya rehabilitasi, melainkan tidak tampaknya proses pertimbangan mengenai hal tersebut dalam putusan. Putusan yang baik tidak cukup memuat kesimpulan bersalah, tetapi harus menampilkan penalaran yang sistematis, logis, dan saling berhubungan (Mulyadi, 2010), termasuk penalaran mengenai kewajiban yang secara tegas diperintahkan undang-undang.</w:t>
      </w:r>
    </w:p>
    <w:p>
      <w:pPr>
        <w:pStyle w:val="IEEEParagraph"/>
        <w:ind w:left="567" w:right="322" w:firstLine="567"/>
        <w:rPr>
          <w:rFonts w:ascii="Segoe UI" w:hAnsi="Segoe UI" w:cs="Segoe UI"/>
          <w:sz w:val="22"/>
          <w:szCs w:val="22"/>
        </w:rPr>
      </w:pPr>
      <w:r>
        <w:rPr>
          <w:rFonts w:ascii="Segoe UI" w:hAnsi="Segoe UI" w:cs="Segoe UI"/>
          <w:sz w:val="22"/>
          <w:szCs w:val="22"/>
        </w:rPr>
        <w:t xml:space="preserve">Dari perspektif transisional, pilihan majelis justru memperoleh penegasan. Undang-Undang Nomor 1 Tahun 2026 tentang Penyesuaian Pidana menghapus ancaman pidana minimum khusus dalam undang-undang di luar Kitab Undang-Undang Hukum Pidana, dengan pengecualian terbatas yang tidak mencakup tindak pidana narkotika, dan sekaligus mencabut sejumlah pasal dalam undang-undang narkotika, di antaranya Pasal 112, karena unsurnya telah diserap ke dalam kodifikasi baru. Sementara itu Pasal 114 dan Pasal 127 tetap berlaku. Implikasinya, struktur dakwaan tiga lapis dengan susunan yang sama tidak lagi dapat diulang, dan ketentuan penyalah guna yang dipilih majelis justru merupakan ketentuan yang bertahan. Temuan ini memperkuat penilaian bahwa pemilihan dakwaan alternatif ketiga bersifat antisipatif.</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Dakwaan penuntut umum dalam Putusan Pengadilan Negeri Makassar Nomor 305/Pid.Sus/2024/PN Mks disusun dalam bentuk alternatif dengan tiga lapis, yaitu dakwaan kesatu Pasal 114 ayat (1) juncto Pasal 55 ayat (1) ke-1 Kitab Undang-Undang Hukum Pidana, dakwaan kedua Pasal 112 ayat (1) juncto ketentuan penyertaan yang sama, dan dakwaan ketiga Pasal 127 ayat (1) huruf a Undang-Undang Nomor 35 Tahun 2009. Penyusunan tersebut memiliki dasar faktual dan urutannya logis karena bergerak dari perbuatan yang paling berat menuju yang paling ringan, sesuai dengan tiga sudut pembacaan atas satu rangkaian perbuatan terdakwa. Tidak dirangkaikannya ketentuan penyertaan pada dakwaan lapis ketiga juga tepat secara dogmatis, sebab penyalahgunaan narkotika bagi diri sendiri bersifat pribadi. Catatan yang tersisa adalah bahwa rentang ancaman pidana antarlapis sangat lebar, sehingga uraian fakta dalam surat dakwaan sebaiknya sejak awal menegaskan peran faktual terdakwa.</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Pertimbangan hukum majelis hakim langsung diarahkan pada dakwaan alternatif ketiga dengan menguji dua unsur, dan penilaian tersebut sesuai dengan fakta persidangan berupa keterangan saksi, pengakuan terdakwa, hasil pemeriksaan urine, serta barang bukti. Pemilihan tersebut merupakan kekuatan utama putusan karena majelis tidak terjebak pada penerapan harfiah ketentuan penguasaan yang unsurnya juga terpenuhi, melainkan membaca peran faktual terdakwa sebagai penyalah guna dengan barang bukti yang jauh di bawah ambang pedoman Mahkamah Agung. Kelemahannya terletak pada tiadanya pertimbangan mengenai rehabilitasi, padahal Pasal 127 ayat (2) mewajibkan hakim memperhatikan ketentuan Pasal 54, Pasal 55, dan Pasal 103. Adapun penilaian bahwa pidana satu tahun delapan bulan terlalu ringan perlu diluruskan, sebab ancaman paling lama empat tahun merupakan batas atas dan bukan patokan, sehingga pidana yang dijatuhkan berada pada kisaran empat puluh dua persen dari ancaman maksimum.</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penuntut umum menegaskan peran faktual tersangka sejak tahap penyusunan dakwaan melalui hasil uji laboratoris, berat barang bukti, dan hasil asesmen, sehingga dakwaan berlapis tidak menyerahkan seluruh penentuan kualifikasi pada tahap akhir persidangan. Bagi hakim, pertimbangan pada perkara penyalah guna sebaiknya secara eksplisit menguraikan penilaian atas ketentuan rehabilitasi yang diperintahkan undang-undang, sekalipun kesimpulannya menolak rehabilitasi, agar putusan memperlihatkan bahwa seluruh kewajiban normatif telah dijalankan. Bagi pembentuk kebijakan, mekanisme asesmen terpadu perlu diperkuat agar penilaian mengenai status penyalah guna tersedia sejak tahap penyidikan dan tidak bergantung pada penilaian di persidangan. Adapun bagi pengembangan ilmu, penelitian lanjutan disarankan menguji seberapa sering pertimbangan rehabilitasi benar-benar muncul dalam putusan perkara penyalah guna dengan cakupan putusan yang lebih luas, khususnya sesudah berlakunya sistem pemidanaan yang baru.</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(2002). </w:t>
      </w:r>
      <w:r>
        <w:rPr>
          <w:rFonts w:cs="Segoe UI"/>
          <w:sz w:val="20"/>
          <w:szCs w:val="20"/>
          <w:i/>
          <w:iCs/>
        </w:rPr>
        <w:t xml:space="preserve">Pelajaran hukum pidana bagian 1: Stelsel pidana, teori-teori pemidanaan, dan batas berlakunya hukum pidana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Hamzah, A. (1994). </w:t>
      </w:r>
      <w:r>
        <w:rPr>
          <w:rFonts w:cs="Segoe UI"/>
          <w:sz w:val="20"/>
          <w:szCs w:val="20"/>
          <w:i/>
          <w:iCs/>
        </w:rPr>
        <w:t xml:space="preserve">Asas-asas hukum pidana</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Ilyas, A. (2012). </w:t>
      </w:r>
      <w:r>
        <w:rPr>
          <w:rFonts w:cs="Segoe UI"/>
          <w:sz w:val="20"/>
          <w:szCs w:val="20"/>
          <w:i/>
          <w:iCs/>
        </w:rPr>
        <w:t xml:space="preserve">Asas-asas hukum pidana: Memahami tindak pidana dan pertanggungjawaban pidana sebagai syarat pemidanaan</w:t>
      </w:r>
      <w:r>
        <w:rPr>
          <w:rFonts w:cs="Segoe UI"/>
          <w:sz w:val="20"/>
          <w:szCs w:val="20"/>
        </w:rPr>
        <w:t xml:space="preserve">. Rangkang Education &amp; PuKAP Indonesia.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Kanter, E. Y., &amp; Sianturi, S. R. (2002). </w:t>
      </w:r>
      <w:r>
        <w:rPr>
          <w:rFonts w:cs="Segoe UI"/>
          <w:sz w:val="20"/>
          <w:szCs w:val="20"/>
          <w:i/>
          <w:iCs/>
        </w:rPr>
        <w:t xml:space="preserve">Asas-asas hukum pidana di Indonesia dan penerapannya</w:t>
      </w:r>
      <w:r>
        <w:rPr>
          <w:rFonts w:cs="Segoe UI"/>
          <w:sz w:val="20"/>
          <w:szCs w:val="20"/>
        </w:rPr>
        <w:t xml:space="preserve">. Storia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Mandagi, J. (1995). </w:t>
      </w:r>
      <w:r>
        <w:rPr>
          <w:rFonts w:cs="Segoe UI"/>
          <w:sz w:val="20"/>
          <w:szCs w:val="20"/>
          <w:i/>
          <w:iCs/>
        </w:rPr>
        <w:t xml:space="preserve">Masalah narkotika dan penanggulangannya</w:t>
      </w:r>
      <w:r>
        <w:rPr>
          <w:rFonts w:cs="Segoe UI"/>
          <w:sz w:val="20"/>
          <w:szCs w:val="20"/>
        </w:rPr>
        <w:t xml:space="preserve">. Pramuka Saka Bhayangkara.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Mardani. (2008). </w:t>
      </w:r>
      <w:r>
        <w:rPr>
          <w:rFonts w:cs="Segoe UI"/>
          <w:sz w:val="20"/>
          <w:szCs w:val="20"/>
          <w:i/>
          <w:iCs/>
        </w:rPr>
        <w:t xml:space="preserve">Penyalahgunaan narkoba dalam perspektif hukum Islam dan hukum pidana nasional</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Moeljatno. (2015). </w:t>
      </w:r>
      <w:r>
        <w:rPr>
          <w:rFonts w:cs="Segoe UI"/>
          <w:sz w:val="20"/>
          <w:szCs w:val="20"/>
          <w:i/>
          <w:iCs/>
        </w:rPr>
        <w:t xml:space="preserve">Asas-asas hukum pidana</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Mulyadi, L. (2010). </w:t>
      </w:r>
      <w:r>
        <w:rPr>
          <w:rFonts w:cs="Segoe UI"/>
          <w:sz w:val="20"/>
          <w:szCs w:val="20"/>
          <w:i/>
          <w:iCs/>
        </w:rPr>
        <w:t xml:space="preserve">Seraut wajah putusan hakim dalam hukum acara pidana Indonesia</w:t>
      </w:r>
      <w:r>
        <w:rPr>
          <w:rFonts w:cs="Segoe UI"/>
          <w:sz w:val="20"/>
          <w:szCs w:val="20"/>
        </w:rPr>
        <w:t xml:space="preserve">. Citra Aditya Bakti.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Sunggono, B. (2003). </w:t>
      </w:r>
      <w:r>
        <w:rPr>
          <w:rFonts w:cs="Segoe UI"/>
          <w:sz w:val="20"/>
          <w:szCs w:val="20"/>
          <w:i/>
          <w:iCs/>
        </w:rPr>
        <w:t xml:space="preserve">Metode penelitian hukum</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Waluyo, B. (1996). </w:t>
      </w:r>
      <w:r>
        <w:rPr>
          <w:rFonts w:cs="Segoe UI"/>
          <w:sz w:val="20"/>
          <w:szCs w:val="20"/>
          <w:i/>
          <w:iCs/>
        </w:rPr>
        <w:t xml:space="preserve">Penelitian hukum dalam praktek</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Putusan Pengadilan Negeri Makassar Nomor 305/Pid.Sus/2024/PN Mks (2024).</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Surat Edaran Mahkamah Agung Republik Indonesia Nomor 4 Tahun 2010 tentang Penempatan Penyalahgunaan, Korban Penyalahgunaan, dan Pecandu Narkotika ke dalam Lembaga Rehabilitasi Medis dan Rehabilitasi Sosial.</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Surat Edaran Mahkamah Agung Republik Indonesia Nomor 3 Tahun 2015 tentang Pemberlakuan Rumusan Hasil Rapat Pleno Kamar Mahkamah Agung Tahun 2015 sebagai Pedoman Pelaksanaan Tugas bagi Pengadilan.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35 Tahun 2009 tentang Narkotika.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2026 tentang Penyesuaian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Rasbaya Parianto Purba</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