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Pembentukan Peraturan Daerah di Daerah Otonom Baru: Studi Implementasi Peran Pemerintah Kabupaten Mappi</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Renaldo Oktovianus Ruspanah</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renaldo@ukipaulus.ac.id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regional regulation formation, academic manuscript, legislative programme, new autonomous region, institutional capacity, Mappi Regency</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pembentukan peraturan daerah, naskah akademik, propemperda, daerah otonom baru, kapasitas kelembagaan, Kabupaten Mappi</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Regional autonomy grants local governments the authority to enact regional regulations, yet the capacity to exercise that authority is unevenly distributed, particularly in newly established autonomous regions. This study examines the implementation of the local government's role in forming regional regulations in Mappi Regency, South Papua Province, and identifies the obstacles it faces. The research is normative-empirical legal research using statutory and case approaches, drawing on primary data from interviews with officials of the regional secretariat and on secondary legal materials, analysed descriptively and qualitatively. The findings show that the role is exercised jointly with the regional legislature through a legislative programme and the enactment of approved regulations, and that of twenty-seven draft regulations programmed between 2020 and 2022, twenty-two were enacted. Four obstacles were identified: preparing academic manuscripts, frequently changing legislation, limited human resources, and budget constraints. The study argues that these obstacles are not of one kind: one is normative, one is structural and aggravated by the region's transitional status, and two concern capacity.</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Otonomi daerah memberikan kewenangan kepada pemerintah daerah untuk menetapkan peraturan daerah, namun kemampuan menjalankan kewenangan itu tidak merata, terlebih pada daerah otonom yang baru dibentuk. Penelitian ini mengkaji implementasi peran pemerintah daerah dalam pembentukan peraturan daerah di Kabupaten Mappi, Provinsi Papua Selatan, sekaligus mengidentifikasi kendala yang dihadapinya. Penelitian ini merupakan penelitian hukum normatif-empiris dengan pendekatan peraturan perundang-undangan dan pendekatan kasus, bersumber pada data primer hasil wawancara dengan pejabat sekretariat daerah serta bahan hukum sekunder, yang dianalisis secara deskriptif kualitatif. Hasil penelitian menunjukkan peran tersebut dijalankan bersama dewan perwakilan rakyat daerah melalui penyusunan program pembentukan peraturan daerah dan penetapan rancangan yang telah disetujui, dan dari dua puluh tujuh rancangan yang diprogramkan pada 2020 sampai 2022 sebanyak dua puluh dua berhasil ditetapkan. Ditemukan empat kendala, yaitu penyusunan naskah akademik, peraturan yang berubah-ubah, keterbatasan sumber daya manusia, dan keterbatasan anggaran. Penelitian ini berargumentasi bahwa keempatnya tidak sejenis: satu bersifat normatif, satu bersifat struktural yang diperberat status daerah dalam masa peralihan, dan dua menyangkut kapasitas.</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Negara Kesatuan Republik Indonesia menyelenggarakan pemerintahan dengan asas desentralisasi yang menempatkan daerah sebagai satuan pemerintahan yang berwenang mengatur dan mengurus sendiri urusan pemerintahannya. Pasal 18 ayat (6) Undang-Undang Dasar Negara Republik Indonesia Tahun 1945 menegaskan bahwa pemerintahan daerah berhak menetapkan peraturan daerah dan peraturan lain untuk melaksanakan otonomi dan tugas pembantuan. Kewenangan tersebut merupakan konsekuensi logis dari otonomi, sebab tanpa kewenangan membentuk norma, daerah hanya menjadi pelaksana kehendak pemerintah pusat (Manan, 1994).</w:t>
      </w:r>
    </w:p>
    <w:p>
      <w:pPr>
        <w:pStyle w:val="IEEEParagraph"/>
        <w:ind w:left="567" w:right="322" w:firstLine="567"/>
        <w:rPr>
          <w:rFonts w:ascii="Segoe UI" w:hAnsi="Segoe UI" w:cs="Segoe UI"/>
          <w:sz w:val="22"/>
          <w:szCs w:val="22"/>
        </w:rPr>
      </w:pPr>
      <w:r>
        <w:rPr>
          <w:rFonts w:ascii="Segoe UI" w:hAnsi="Segoe UI" w:cs="Segoe UI"/>
          <w:sz w:val="22"/>
          <w:szCs w:val="22"/>
        </w:rPr>
        <w:t xml:space="preserve">Peraturan daerah menempati kedudukan yang khas dalam tata urutan peraturan perundang-undangan. Ia merupakan produk hukum daerah yang dibentuk oleh kepala daerah bersama dewan perwakilan rakyat daerah, sehingga bercorak legislatif sekaligus mencerminkan kesepakatan politik lokal (Indrati, 2007). Pasal 236 Undang-Undang Nomor 23 Tahun 2014 tentang Pemerintahan Daerah menegaskan bahwa pembentukan peraturan daerah dilakukan bersama-sama oleh kepala daerah dan dewan perwakilan rakyat daerah, sehingga tidak ada peraturan daerah tanpa persetujuan bersama.</w:t>
      </w:r>
    </w:p>
    <w:p>
      <w:pPr>
        <w:pStyle w:val="IEEEParagraph"/>
        <w:ind w:left="567" w:right="322" w:firstLine="567"/>
        <w:rPr>
          <w:rFonts w:ascii="Segoe UI" w:hAnsi="Segoe UI" w:cs="Segoe UI"/>
          <w:sz w:val="22"/>
          <w:szCs w:val="22"/>
        </w:rPr>
      </w:pPr>
      <w:r>
        <w:rPr>
          <w:rFonts w:ascii="Segoe UI" w:hAnsi="Segoe UI" w:cs="Segoe UI"/>
          <w:sz w:val="22"/>
          <w:szCs w:val="22"/>
        </w:rPr>
        <w:t xml:space="preserve">Kewenangan tersebut dalam ajaran hukum administrasi merupakan kewenangan atribusi, yaitu kewenangan yang bersumber langsung pada peraturan perundang-undangan dan melekat pada jabatan, bukan kewenangan yang dilimpahkan dari pejabat lain (Ridwan HR, 2016). Sifat atributif itu membawa konsekuensi bahwa tanggung jawab atas isi maupun kualitas peraturan daerah berada pada pemerintahan daerah itu sendiri, sehingga daerah tidak dapat berlindung di balik ketiadaan petunjuk dari pemerintah pusat. Pada saat yang sama, kewenangan itu tetap berada dalam kerangka negara kesatuan sehingga tunduk pada pembinaan dan pengawasan berjenjang (Hadjon dkk., 2011).</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Persoalannya, kewenangan tidak dengan sendirinya berarti kemampuan. Pembentukan peraturan daerah menuntut perencanaan yang tertib, penelitian yang memadai, perancang yang terampil, dan anggaran yang tersedia. Suatu peraturan daerah yang baik harus memenuhi landasan filosofis, sosiologis, dan yuridis sekaligus, sehingga penyusunannya menuntut kajian yang tidak sederhana (Asshiddiqie, 2010). Kesenjangan antara kewenangan dan kemampuan itulah yang kerap menjadi persoalan nyata di banyak daerah.</w:t>
      </w:r>
    </w:p>
    <w:p>
      <w:pPr>
        <w:pStyle w:val="IEEEParagraph"/>
        <w:ind w:left="567" w:right="322" w:firstLine="567"/>
        <w:rPr>
          <w:rFonts w:ascii="Segoe UI" w:hAnsi="Segoe UI" w:cs="Segoe UI"/>
          <w:sz w:val="22"/>
          <w:szCs w:val="22"/>
        </w:rPr>
      </w:pPr>
      <w:r>
        <w:rPr>
          <w:rFonts w:ascii="Segoe UI" w:hAnsi="Segoe UI" w:cs="Segoe UI"/>
          <w:sz w:val="22"/>
          <w:szCs w:val="22"/>
        </w:rPr>
        <w:t xml:space="preserve">Kesenjangan tersebut berpotensi lebih besar pada daerah otonom yang baru dibentuk. Kabupaten Mappi merupakan salah satu kabupaten yang sejak berlakunya Undang-Undang Nomor 14 Tahun 2022 menjadi bagian dari Provinsi Papua Selatan, provinsi baru yang berasal dari sebagian wilayah Provinsi Papua dan diberi otonomi khusus dalam kerangka Negara Kesatuan Republik Indonesia. Perubahan itu tidak berhenti pada peta administratif, melainkan menyentuh mekanisme pembentukan peraturan daerah, sebab fasilitasi dan evaluasi rancangan peraturan daerah kabupaten dilakukan oleh gubernur sebagai wakil pemerintah pusat di daerah, sehingga perubahan induk provinsi berarti perubahan pula pada saluran pembinaan dan pengawasan.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Masalah yang diteliti karenanya bersifat berlapis. Pada lapis pertama terdapat pertanyaan mengenai bagaimana peran pemerintah daerah sesungguhnya dijalankan dalam setiap tahapan pembentukan peraturan daerah, mulai dari perencanaan sampai pengundangan. Pada lapis kedua terdapat pertanyaan mengenai kendala yang dihadapi, dan yang lebih penting, mengenai sifat masing-masing kendala tersebut, sebab kendala yang bersumber pada rumusan norma menuntut jalan keluar yang berbeda dari kendala yang bersumber pada keterbatasan kapasitas.</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pembentukan peraturan daerah di Indonesia telah berkembang cukup lama. Attamimi (1990) meletakkan kerangka teoretis mengenai kedudukan peraturan perundang-undangan dalam penyelenggaraan pemerintahan negara, Manan (1994) dan Indrati (2007) menelaah dasar-dasar dan materi muatan peraturan perundang-undangan, sedangkan Huda (2014) mengkaji kedudukan peraturan daerah dalam hukum pemerintahan daerah. Kajian-kajian tersebut berjasa membangun landasan konseptual, tetapi umumnya membahas pembentukan peraturan daerah pada daerah yang telah mapan secara kelembagaan.</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penelitian ini menempatkan status daerah sebagai bagian dari kabupaten pada provinsi yang baru dibentuk sebagai variabel yang turut menjelaskan kendala, bukan sekadar sebagai keterangan tempat. Penelitian ini juga menempatkan pembentukan peraturan daerah di Kabupaten Mappi pada masa berlakunya Undang-Undang Nomor 12 Tahun 2011 yang telah dua kali diubah, yaitu dengan Undang-Undang Nomor 15 Tahun 2019 dan Undang-Undang Nomor 13 Tahun 2022, sehingga kerangka normatif yang mengikat pembentukan peraturan daerah pun berubah dalam rentang yang diteliti.</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mengetahui dan menganalisis implementasi peran pemerintah daerah dalam pembentukan peraturan daerah di Kabupaten Mappi, Provinsi Papua Selatan; kedua, mengetahui dan menganalisis kendala yang dihadapi pemerintah daerah dalam menjalankan peran tersebut. Secara teoretis, penelitian ini berkontribusi pada kajian hukum tata negara dan hukum pemerintahan daerah dengan memperlihatkan hubungan antara kewenangan membentuk norma dan kapasitas menjalankannya. Secara praktis, hasilnya dapat menjadi masukan bagi pemerintah daerah dalam menyusun prioritas pembenahan sesuai dengan sifat masing-masing kendala.</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jenis dan pendekatan penelitian, lokasi penelitian, jenis dan sumber data, teknik pengumpulan data, teknik analisis, serta batasan penelitian.</w:t>
      </w:r>
    </w:p>
    <w:p>
      <w:pPr>
        <w:pStyle w:val="IEEEParagraph"/>
        <w:ind w:left="567" w:right="322"/>
      </w:pPr>
    </w:p>
    <w:p>
      <w:pPr>
        <w:pStyle w:val="Heading2"/>
        <w:ind w:right="322"/>
        <w:rPr>
          <w:rStyle w:val="mediumtext"/>
        </w:rPr>
      </w:pPr>
      <w:r>
        <w:rPr>
          <w:rStyle w:val="mediumtext"/>
        </w:rPr>
        <w:t xml:space="preserve">2.1 Jenis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merupakan penelitian hukum normatif-empiris. Dimensi normatif ditempuh dengan menelaah norma, asas, dan peraturan perundang-undangan yang mengatur pembentukan peraturan daerah, sedangkan dimensi empiris ditempuh untuk melihat bagaimana norma tersebut dijalankan pada tataran penyelenggaraan pemerintahan daerah. Pilihan itu ditentukan oleh karakter permasalahan yang dirumuskan, yang menuntut penilaian atas kecukupan norma sekaligus atas praktik pelaksanaannya.</w:t>
      </w:r>
    </w:p>
    <w:p>
      <w:pPr>
        <w:pStyle w:val="IEEEParagraph"/>
        <w:ind w:left="567" w:right="322" w:firstLine="567"/>
        <w:rPr>
          <w:rFonts w:ascii="Segoe UI" w:hAnsi="Segoe UI" w:cs="Segoe UI"/>
          <w:sz w:val="22"/>
          <w:szCs w:val="22"/>
        </w:rPr>
      </w:pPr>
      <w:r>
        <w:rPr>
          <w:rFonts w:ascii="Segoe UI" w:hAnsi="Segoe UI" w:cs="Segoe UI"/>
          <w:sz w:val="22"/>
          <w:szCs w:val="22"/>
        </w:rPr>
        <w:t xml:space="preserve">Dua pendekatan digunakan secara berlapis.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dipakai untuk menelaah seluruh peraturan yang berkaitan dengan isu yang dibahas, mulai dari ketentuan konstitusional mengenai kewenangan daerah sampai pada ketentuan teknis mengenai tahapan pembentukan produk hukum daerah, termasuk perubahan-perubahannya. Pendekatan kasus (</w:t>
      </w:r>
      <w:r>
        <w:rPr>
          <w:rFonts w:ascii="Segoe UI" w:hAnsi="Segoe UI" w:cs="Segoe UI"/>
          <w:sz w:val="22"/>
          <w:szCs w:val="22"/>
          <w:i/>
          <w:iCs/>
        </w:rPr>
        <w:t xml:space="preserve">case approach</w:t>
      </w:r>
      <w:r>
        <w:rPr>
          <w:rFonts w:ascii="Segoe UI" w:hAnsi="Segoe UI" w:cs="Segoe UI"/>
          <w:sz w:val="22"/>
          <w:szCs w:val="22"/>
        </w:rPr>
        <w:t xml:space="preserve">) dipakai untuk mengkaji pelaksanaan tahapan tersebut pada satu daerah tertentu beserta hambatan yang menyertainya (Marzuki, 2016).</w:t>
      </w:r>
    </w:p>
    <w:p>
      <w:pPr>
        <w:pStyle w:val="IEEEParagraph"/>
        <w:ind w:left="567" w:right="322" w:firstLine="567"/>
        <w:rPr>
          <w:rFonts w:ascii="Segoe UI" w:hAnsi="Segoe UI" w:cs="Segoe UI"/>
          <w:sz w:val="22"/>
          <w:szCs w:val="22"/>
        </w:rPr>
      </w:pPr>
      <w:r>
        <w:rPr>
          <w:rFonts w:ascii="Segoe UI" w:hAnsi="Segoe UI" w:cs="Segoe UI"/>
          <w:sz w:val="22"/>
          <w:szCs w:val="22"/>
        </w:rPr>
        <w:t xml:space="preserve">Perpaduan keduanya diperlukan karena permasalahan penelitian tidak berhenti pada pertanyaan apakah norma pembentukan peraturan daerah telah tersedia, melainkan berlanjut pada pertanyaan mengapa sebagian rancangan tidak dapat diselesaikan meskipun normanya tersedia. Pertanyaan terakhir menuntut data yang tidak seluruhnya terdapat dalam dokumen, sehingga penelusuran lapangan menjadi pelengkap yang diperlukan.</w:t>
      </w:r>
    </w:p>
    <w:p>
      <w:pPr>
        <w:pStyle w:val="IEEEParagraph"/>
        <w:ind w:left="567" w:right="322"/>
      </w:pPr>
    </w:p>
    <w:p>
      <w:pPr>
        <w:pStyle w:val="Heading2"/>
        <w:ind w:right="322"/>
        <w:rPr>
          <w:rStyle w:val="mediumtext"/>
        </w:rPr>
      </w:pPr>
      <w:r>
        <w:rPr>
          <w:rStyle w:val="mediumtext"/>
        </w:rPr>
        <w:t xml:space="preserve">2.2 Lokasi Penelitian, Jenis dan Sumber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dilaksanakan di Kabupaten Mappi, Provinsi Papua Selatan, dengan menitikberatkan pada unit kerja yang diberi tanggung jawab di bidang perundang-undangan, yaitu Bagian Hukum dan Hak Asasi Manusia Sekretariat Daerah. Data primer diperoleh langsung melalui wawancara dengan responden yang berkaitan dengan penelitian, sedangkan data sekunder diperoleh dari kearsipan, dokumen, serta bahan pustaka berupa literatur dan peraturan perundang-undangan yang berhubungan dengan masalah yang diteliti.</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yang digunakan meliputi Undang-Undang Dasar Negara Republik Indonesia Tahun 1945, Undang-Undang Nomor 12 Tahun 2011 tentang Pembentukan Peraturan Perundang-undangan beserta perubahannya melalui Undang-Undang Nomor 15 Tahun 2019 dan Undang-Undang Nomor 13 Tahun 2022, Undang-Undang Nomor 23 Tahun 2014 tentang Pemerintahan Daerah, Undang-Undang Nomor 2 Tahun 2021, Undang-Undang Nomor 14 Tahun 2022 tentang Pembentukan Provinsi Papua Selatan, serta Peraturan Menteri Dalam Negeri Nomor 80 Tahun 2015 sebagaimana diubah dengan Peraturan Menteri Dalam Negeri Nomor 120 Tahun 2018. Bahan hukum sekunder berupa buku ilmu perundang-undangan, hukum pemerintahan daerah, artikel jurnal, dan hasil penelitian terdahulu.</w:t>
      </w:r>
    </w:p>
    <w:p>
      <w:pPr>
        <w:pStyle w:val="IEEEParagraph"/>
        <w:ind w:left="567" w:right="322"/>
      </w:pPr>
    </w:p>
    <w:p>
      <w:pPr>
        <w:pStyle w:val="Heading2"/>
        <w:ind w:right="322"/>
        <w:rPr>
          <w:rStyle w:val="mediumtext"/>
        </w:rPr>
      </w:pPr>
      <w:r>
        <w:rPr>
          <w:rStyle w:val="mediumtext"/>
        </w:rPr>
        <w:t xml:space="preserve">2.3 Teknik Pengumpulan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Pengumpulan data ditempuh melalui penelitian kepustakaan (</w:t>
      </w:r>
      <w:r>
        <w:rPr>
          <w:rFonts w:ascii="Segoe UI" w:hAnsi="Segoe UI" w:cs="Segoe UI"/>
          <w:sz w:val="22"/>
          <w:szCs w:val="22"/>
          <w:i/>
          <w:iCs/>
        </w:rPr>
        <w:t xml:space="preserve">library research</w:t>
      </w:r>
      <w:r>
        <w:rPr>
          <w:rFonts w:ascii="Segoe UI" w:hAnsi="Segoe UI" w:cs="Segoe UI"/>
          <w:sz w:val="22"/>
          <w:szCs w:val="22"/>
        </w:rPr>
        <w:t xml:space="preserve">), yaitu penelaahan buku, peraturan perundang-undangan, literatur, dan dokumen lain yang berhubungan dengan objek penelitian, serta melalui penelitian lapangan (</w:t>
      </w:r>
      <w:r>
        <w:rPr>
          <w:rFonts w:ascii="Segoe UI" w:hAnsi="Segoe UI" w:cs="Segoe UI"/>
          <w:sz w:val="22"/>
          <w:szCs w:val="22"/>
          <w:i/>
          <w:iCs/>
        </w:rPr>
        <w:t xml:space="preserve">field research</w:t>
      </w:r>
      <w:r>
        <w:rPr>
          <w:rFonts w:ascii="Segoe UI" w:hAnsi="Segoe UI" w:cs="Segoe UI"/>
          <w:sz w:val="22"/>
          <w:szCs w:val="22"/>
        </w:rPr>
        <w:t xml:space="preserve">) yang dilaksanakan pada unit kerja yang diberi tanggung jawab di bidang perundang-undangan di Kabupaten Mappi.</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perubahan peraturan yang terjadi dalam rentang yang diteliti maupun sesudahnya, penelusuran diarahkan pada teks undang-undang beserta ketentuan peralihannya, bukan pada tulisan populer, agar setiap pernyataan mengenai keberlakuan norma dapat diverifikasi sumbernya. Keterangan hasil wawancara diperlakukan sebagai data yang memperkaya pembacaan atas dokumen, bukan sebagai pengganti teks peraturan.</w:t>
      </w:r>
    </w:p>
    <w:p>
      <w:pPr>
        <w:pStyle w:val="IEEEParagraph"/>
        <w:ind w:left="567" w:right="322"/>
      </w:pPr>
    </w:p>
    <w:p>
      <w:pPr>
        <w:pStyle w:val="Heading2"/>
        <w:ind w:right="322"/>
        <w:rPr>
          <w:rStyle w:val="mediumtext"/>
        </w:rPr>
      </w:pPr>
      <w:r>
        <w:rPr>
          <w:rStyle w:val="mediumtext"/>
        </w:rPr>
        <w:t xml:space="preserve">2.4 Teknik Analisis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primer maupun data sekunder dianalisis secara kualitatif dengan menguraikan secara deskriptif hasil data yang tepat dan relevan untuk menjawab permasalahan. Analisis ditempuh melalui alur berjenjang, yaitu identifikasi norma yang mengatur setiap tahapan pembentukan peraturan daerah, penelusuran pelaksanaan tahapan tersebut di lokasi penelitian, identifikasi hambatan yang muncul, dan penilaian atas sumber hambatan tersebut.</w:t>
      </w:r>
    </w:p>
    <w:p>
      <w:pPr>
        <w:pStyle w:val="IEEEParagraph"/>
        <w:ind w:left="567" w:right="322" w:firstLine="567"/>
        <w:rPr>
          <w:rFonts w:ascii="Segoe UI" w:hAnsi="Segoe UI" w:cs="Segoe UI"/>
          <w:sz w:val="22"/>
          <w:szCs w:val="22"/>
        </w:rPr>
      </w:pPr>
      <w:r>
        <w:rPr>
          <w:rFonts w:ascii="Segoe UI" w:hAnsi="Segoe UI" w:cs="Segoe UI"/>
          <w:sz w:val="22"/>
          <w:szCs w:val="22"/>
        </w:rPr>
        <w:t xml:space="preserve">Pada permasalahan kedua, analisis dilanjutkan dengan pemilahan kendala menurut sumbernya, yaitu kendala yang bersumber pada rumusan norma, kendala yang bersumber pada dinamika perubahan peraturan, dan kendala yang bersumber pada keterbatasan kapasitas kelembagaan maupun fiskal. Pemilahan itu diperlukan agar rekomendasi yang disusun tidak menyamaratakan jalan keluar bagi persoalan yang sesungguhnya berbeda sifatnya.</w:t>
      </w:r>
    </w:p>
    <w:p>
      <w:pPr>
        <w:pStyle w:val="IEEEParagraph"/>
        <w:ind w:left="567" w:right="322" w:firstLine="567"/>
        <w:rPr>
          <w:rFonts w:ascii="Segoe UI" w:hAnsi="Segoe UI" w:cs="Segoe UI"/>
          <w:sz w:val="22"/>
          <w:szCs w:val="22"/>
        </w:rPr>
      </w:pPr>
      <w:r>
        <w:rPr>
          <w:rFonts w:ascii="Segoe UI" w:hAnsi="Segoe UI" w:cs="Segoe UI"/>
          <w:sz w:val="22"/>
          <w:szCs w:val="22"/>
        </w:rPr>
        <w:t xml:space="preserve">Validitas analisis dijaga melalui dua cara. Pertama, setiap pernyataan mengenai capaian pembentukan peraturan daerah dilacak kembali pada keterangan narasumber dan dokumen yang tersedia. Kedua, setiap penilaian normatif diuji dengan menyandingkannya pada pandangan yang berbeda, khususnya pandangan yang menekankan bahwa kelonggaran norma dapat pula dimaksudkan sebagai kemudahan bagi daerah, agar argumentasi yang dibangun tidak bersifat satu arah.</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satu kabupaten sehingga tidak dimaksudkan menggeneralisasi praktik pembentukan peraturan daerah secara nasional; nilai penelitian terletak pada kedalaman analisis atas satu daerah yang berada dalam masa peralihan kelembagaan. Penelitian ini juga tidak menilai kualitas materi muatan peraturan daerah yang telah ditetapkan maupun efektivitas pelaksanaannya di masyarakat, sebab penilaian demikian menuntut rancangan penelitian yang berbeda. Kesimpulan yang ditarik berlaku pada tataran proses pembentukan norma dan bukan merupakan penilaian atas kinerja pejabat tertentu.</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dua rumusan masalah. Subbagian 3.1 menganalisis implementasi peran pemerintah daerah dalam setiap tahapan pembentukan peraturan daerah, sedangkan subbagian 3.2 mengidentifikasi kendala yang dihadapi beserta sumbernya.</w:t>
      </w:r>
    </w:p>
    <w:p>
      <w:pPr>
        <w:pStyle w:val="IEEEParagraph"/>
        <w:ind w:left="567" w:right="322"/>
      </w:pPr>
    </w:p>
    <w:p>
      <w:pPr>
        <w:pStyle w:val="Heading2"/>
        <w:ind w:right="322"/>
        <w:rPr>
          <w:rStyle w:val="mediumtext"/>
        </w:rPr>
      </w:pPr>
      <w:r>
        <w:rPr>
          <w:rStyle w:val="mediumtext"/>
        </w:rPr>
        <w:t xml:space="preserve">3.1 Implementasi Peran Pemerintah Daerah dalam Pembentukan Peraturan Daerah</w:t>
      </w:r>
    </w:p>
    <w:p>
      <w:pPr>
        <w:pStyle w:val="IEEEParagraph"/>
        <w:ind w:left="567" w:right="322" w:firstLine="567"/>
        <w:rPr>
          <w:rFonts w:ascii="Segoe UI" w:hAnsi="Segoe UI" w:cs="Segoe UI"/>
          <w:sz w:val="22"/>
          <w:szCs w:val="22"/>
        </w:rPr>
      </w:pPr>
      <w:r>
        <w:rPr>
          <w:rFonts w:ascii="Segoe UI" w:hAnsi="Segoe UI" w:cs="Segoe UI"/>
          <w:sz w:val="22"/>
          <w:szCs w:val="22"/>
        </w:rPr>
        <w:t xml:space="preserve">Kewenangan membentuk peraturan daerah bersumber pada Pasal 18 ayat (6) Undang-Undang Dasar Negara Republik Indonesia Tahun 1945 dan dijabarkan dalam Pasal 236 sampai dengan Pasal 254 Undang-Undang Nomor 23 Tahun 2014. Meskipun undang-undang menyatakan bahwa kepala daerah menetapkan peraturan daerah setelah memperoleh persetujuan bersama dewan perwakilan rakyat daerah, hal itu tidak berarti kewenangan membentuk peraturan daerah berada pada kepala daerah semata. Dewan perwakilan rakyat daerah memiliki hak inisiatif dan hak mengadakan perubahan, dan persetujuan itu sendiri mengandung kewenangan menentukan, sehingga tanpa persetujuan tersebut tidak akan ada peraturan daerah.</w:t>
      </w:r>
    </w:p>
    <w:p>
      <w:pPr>
        <w:pStyle w:val="IEEEParagraph"/>
        <w:ind w:left="567" w:right="322" w:firstLine="567"/>
        <w:rPr>
          <w:rFonts w:ascii="Segoe UI" w:hAnsi="Segoe UI" w:cs="Segoe UI"/>
          <w:sz w:val="22"/>
          <w:szCs w:val="22"/>
        </w:rPr>
      </w:pPr>
      <w:r>
        <w:rPr>
          <w:rFonts w:ascii="Segoe UI" w:hAnsi="Segoe UI" w:cs="Segoe UI"/>
          <w:sz w:val="22"/>
          <w:szCs w:val="22"/>
        </w:rPr>
        <w:t xml:space="preserve">Dalam praktik di Kabupaten Mappi, peran pemerintah daerah dijalankan melalui rangkaian tahapan yang dikoordinasikan oleh Bagian Hukum dan Hak Asasi Manusia Sekretariat Daerah. Penyusunan program pembentukan peraturan daerah yang berasal dari unsur eksekutif dikoordinasikan oleh kepala bagian tersebut, sedangkan yang berasal dari dewan perwakilan rakyat daerah dikoordinasikan oleh badan pembentukan peraturan daerah. Hasil penyusunan dari kedua unsur kemudian disepakati bersama menjadi program pembentukan peraturan daerah dan ditetapkan oleh ketua dewan perwakilan rakyat daerah. Tabel 1 menyarikan tahapan tersebut beserta pelaksana utamanya.</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Tahapan Pembentukan Peraturan Daerah, Pelaksana Utama, dan Wujudnya di Kabupaten Mappi</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400"/>
        <w:gridCol w:w="3200"/>
        <w:gridCol w:w="3426"/>
      </w:tblGrid>
      <w:tr>
        <w:trPr>
          <w:cantSplit/>
          <w:tblHeader/>
        </w:trPr>
        <w:tc>
          <w:tcPr>
            <w:tcW w:w="24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Tahapan</w:t>
            </w:r>
          </w:p>
        </w:tc>
        <w:tc>
          <w:tcPr>
            <w:tcW w:w="32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Pelaksana Utama</w:t>
            </w:r>
          </w:p>
        </w:tc>
        <w:tc>
          <w:tcPr>
            <w:tcW w:w="34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Wujud dalam Praktik</w:t>
            </w:r>
          </w:p>
        </w:tc>
      </w:tr>
      <w:tr>
        <w:trPr>
          <w:cantSplit/>
        </w:trPr>
        <w:tc>
          <w:tcPr>
            <w:tcW w:w="2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Perencanaan melalui program pembentukan peraturan daerah</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Bagian Hukum dan HAM Sekretariat Daerah untuk usulan eksekutif; badan pembentukan peraturan daerah untuk usulan legislatif</w:t>
            </w:r>
          </w:p>
        </w:tc>
        <w:tc>
          <w:tcPr>
            <w:tcW w:w="3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Program pembentukan peraturan daerah periode 2020 sampai 2022 memuat 27 rancangan</w:t>
            </w:r>
          </w:p>
        </w:tc>
      </w:tr>
      <w:tr>
        <w:trPr>
          <w:cantSplit/>
        </w:trPr>
        <w:tc>
          <w:tcPr>
            <w:tcW w:w="2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Penyusunan naskah akademik</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Perangkat daerah pengusul dengan pelibatan perancang, peneliti, dan/atau tenaga ahli</w:t>
            </w:r>
          </w:p>
        </w:tc>
        <w:tc>
          <w:tcPr>
            <w:tcW w:w="3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Belum seluruh rancangan disertai naskah akademik</w:t>
            </w:r>
          </w:p>
        </w:tc>
      </w:tr>
      <w:tr>
        <w:trPr>
          <w:cantSplit/>
        </w:trPr>
        <w:tc>
          <w:tcPr>
            <w:tcW w:w="2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Penyusunan rancangan peraturan daerah</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Bagian Hukum dan HAM Sekretariat Daerah bersama perangkat daerah pengusul</w:t>
            </w:r>
          </w:p>
        </w:tc>
        <w:tc>
          <w:tcPr>
            <w:tcW w:w="3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Dikoordinasikan oleh kepala bagian hukum dan hak asasi manusia</w:t>
            </w:r>
          </w:p>
        </w:tc>
      </w:tr>
      <w:tr>
        <w:trPr>
          <w:cantSplit/>
        </w:trPr>
        <w:tc>
          <w:tcPr>
            <w:tcW w:w="2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Pembahasan dan persetujuan bersama</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Kepala daerah dan dewan perwakilan rakyat daerah</w:t>
            </w:r>
          </w:p>
        </w:tc>
        <w:tc>
          <w:tcPr>
            <w:tcW w:w="3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22 rancangan memperoleh persetujuan dan ditetapkan</w:t>
            </w:r>
          </w:p>
        </w:tc>
      </w:tr>
      <w:tr>
        <w:trPr>
          <w:cantSplit/>
        </w:trPr>
        <w:tc>
          <w:tcPr>
            <w:tcW w:w="2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Fasilitasi dan evaluasi</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Gubernur sebagai wakil pemerintah pusat melalui biro hukum sekretariat daerah provinsi</w:t>
            </w:r>
          </w:p>
        </w:tc>
        <w:tc>
          <w:tcPr>
            <w:tcW w:w="3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Hasil berupa keputusan gubernur untuk evaluasi dan surat sekretaris daerah untuk fasilitasi</w:t>
            </w:r>
          </w:p>
        </w:tc>
      </w:tr>
      <w:tr>
        <w:trPr>
          <w:cantSplit/>
        </w:trPr>
        <w:tc>
          <w:tcPr>
            <w:tcW w:w="2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Penetapan dan pengundangan</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Kepala daerah dan sekretaris daerah</w:t>
            </w:r>
          </w:p>
        </w:tc>
        <w:tc>
          <w:tcPr>
            <w:tcW w:w="3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5 rancangan belum ditetapkan dan dilanjutkan pada program tahun berikutnya</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hasil penelitian, UU No. 23 Tahun 2014, dan Permendagri No. 80 Tahun 2015 sebagaimana diubah dengan Permendagri No. 120 Tahun 2018</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keterangan pejabat Sekretariat Daerah Kabupaten Mappi, dari 27 rancangan peraturan daerah yang termuat dalam program pembentukan peraturan daerah sepanjang 2020 sampai 2022, sebanyak 22 rancangan telah ditetapkan, sedangkan 5 rancangan belum ditetapkan dan dilanjutkan pada program tahun berikutnya, terdiri atas satu rancangan dari tahun 2021 dan empat rancangan dari tahun 2022. Rancangan yang telah ditetapkan dikirimkan kepada biro hukum sekretariat daerah provinsi untuk memperoleh fasilitasi dan evaluasi, yaitu penilaian mengenai ada atau tidaknya kewenangan kabupaten membentuk rancangan tersebut serta mengenai kesesuaian materi muatannya dengan peraturan perundang-undangan yang lebih tinggi, kepentingan umum, atau kesusilaan.</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angka tersebut memperlihatkan capaian yang tidak dapat disebut rendah, sebab sekitar delapan puluh satu persen rancangan yang diprogramkan berhasil ditetapkan. Namun angka itu juga menyimpan keterangan yang perlu dibaca lebih cermat. Rancangan yang tertunda bukanlah rancangan yang ditolak, melainkan rancangan yang tidak terselesaikan dalam tahun berjalan sehingga dimasukkan kembali dengan nomor urut prioritas utama pada tahun berikutnya. Pola demikian memperlihatkan bahwa hambatan yang terjadi bukan pada tataran substansi melainkan pada tataran proses, yaitu keterbatasan waktu, tenaga, dan pembiayaan.</w:t>
      </w:r>
    </w:p>
    <w:p>
      <w:pPr>
        <w:pStyle w:val="IEEEParagraph"/>
        <w:ind w:left="567" w:right="322" w:firstLine="567"/>
        <w:rPr>
          <w:rFonts w:ascii="Segoe UI" w:hAnsi="Segoe UI" w:cs="Segoe UI"/>
          <w:sz w:val="22"/>
          <w:szCs w:val="22"/>
        </w:rPr>
      </w:pPr>
      <w:r>
        <w:rPr>
          <w:rFonts w:ascii="Segoe UI" w:hAnsi="Segoe UI" w:cs="Segoe UI"/>
          <w:sz w:val="22"/>
          <w:szCs w:val="22"/>
        </w:rPr>
        <w:t xml:space="preserve">Terdapat pula dimensi yang belum banyak diperhatikan, yaitu kedudukan Kabupaten Mappi sebagai bagian dari provinsi yang baru dibentuk. Rentang 2020 sampai 2022 merupakan masa peralihan, sebab Provinsi Papua Selatan baru dibentuk melalui Undang-Undang Nomor 14 Tahun 2022 dengan memisahkan sebagian wilayah dari Provinsi Papua. Secara yuridis, hal itu berarti saluran fasilitasi dan evaluasi rancangan peraturan daerah kabupaten berpindah kepada gubernur provinsi yang baru, sementara perangkat pendukungnya sendiri masih dalam proses penataan. Keadaan tersebut menambah beban proses yang sesungguhnya berada di luar kendali pemerintah kabupaten.</w:t>
      </w:r>
    </w:p>
    <w:p>
      <w:pPr>
        <w:pStyle w:val="IEEEParagraph"/>
        <w:ind w:left="567" w:right="322"/>
      </w:pPr>
    </w:p>
    <w:p>
      <w:pPr>
        <w:pStyle w:val="Heading2"/>
        <w:ind w:right="322"/>
        <w:rPr>
          <w:rStyle w:val="mediumtext"/>
        </w:rPr>
      </w:pPr>
      <w:r>
        <w:rPr>
          <w:rStyle w:val="mediumtext"/>
        </w:rPr>
        <w:t xml:space="preserve">3.2 Kendala Pembentukan Peraturan Daerah dan Sumbernya</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penelusuran dokumen dan keterangan narasumber, ditemukan empat kendala yang dihadapi pemerintah daerah dalam menjalankan perannya. Keempatnya kerap disebut berdampingan seolah-olah sejenis, padahal sumber persoalannya berbeda. Tabel 2 memilah keempat kendala tersebut menurut sumber dan sifatnya.</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Kendala Pembentukan Peraturan Daerah, Sumber Persoalan, dan Ranah Pembenahannya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900"/>
        <w:gridCol w:w="3200"/>
        <w:gridCol w:w="1500"/>
        <w:gridCol w:w="2426"/>
      </w:tblGrid>
      <w:tr>
        <w:trPr>
          <w:cantSplit/>
          <w:tblHeader/>
        </w:trPr>
        <w:tc>
          <w:tcPr>
            <w:tcW w:w="19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Kendala</w:t>
            </w:r>
          </w:p>
        </w:tc>
        <w:tc>
          <w:tcPr>
            <w:tcW w:w="32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Sumber Persoalan</w:t>
            </w:r>
          </w:p>
        </w:tc>
        <w:tc>
          <w:tcPr>
            <w:tcW w:w="15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Sifat</w:t>
            </w:r>
          </w:p>
        </w:tc>
        <w:tc>
          <w:tcPr>
            <w:tcW w:w="24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Ranah Pembenahan</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Penyusunan naskah akademik</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Rumusan yang menyebut penjelasan atau keterangan dan/atau naskah akademik membuka penafsiran bahwa naskah akademik bersifat pilihan bagi rancangan peraturan daerah kabupaten</w:t>
            </w:r>
          </w:p>
        </w:tc>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Normatif</w:t>
            </w:r>
          </w:p>
        </w:tc>
        <w:tc>
          <w:tcPr>
            <w:tcW w:w="2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Perubahan rumusan norma dan penegasan pedoman</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Peraturan perundang-undangan yang berubah-ubah</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Perubahan berulang pada peraturan tingkat pusat menuntut penyesuaian rancangan yang sedang disusun</w:t>
            </w:r>
          </w:p>
        </w:tc>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Struktural</w:t>
            </w:r>
          </w:p>
        </w:tc>
        <w:tc>
          <w:tcPr>
            <w:tcW w:w="2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Pemantauan, harmonisasi, dan penguatan sistem informasi peraturan</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Keterbatasan sumber daya manusia</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Jumlah dan kualitas perancang, peneliti, serta tenaga ahli belum memadai dibandingkan beban tugas</w:t>
            </w:r>
          </w:p>
        </w:tc>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Kapasitas kelembagaan</w:t>
            </w:r>
          </w:p>
        </w:tc>
        <w:tc>
          <w:tcPr>
            <w:tcW w:w="2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Pendidikan dan pelatihan, rekrutmen, serta kerja sama dengan perguruan tinggi</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Keterbatasan anggaran</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Anggaran pembentukan peraturan daerah yang diusulkan tidak selalu disetujui dalam anggaran pendapatan dan belanja daerah</w:t>
            </w:r>
          </w:p>
        </w:tc>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Kapasitas fiskal</w:t>
            </w:r>
          </w:p>
        </w:tc>
        <w:tc>
          <w:tcPr>
            <w:tcW w:w="2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Keterpaduan antara program pembentukan peraturan daerah dan perencanaan anggaran</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hasil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Kendala pertama bersumber pada rumusan norma. Undang-Undang Nomor 12 Tahun 2011 menempatkan naskah akademik sebagai naskah hasil penelitian atau pengkajian hukum terhadap suatu masalah tertentu yang dapat dipertanggungjawabkan secara ilmiah sebagai solusi terhadap permasalahan dan kebutuhan hukum masyarakat. Meskipun demikian, ketentuan mengenai rancangan peraturan daerah kabupaten menyebut bahwa rancangan disertai penjelasan atau keterangan dan/atau naskah akademik. Penggunaan frasa dan/atau membuka penafsiran bahwa naskah akademik dapat digantikan oleh penjelasan atau keterangan, sehingga kedudukannya bergeser dari kewajiban menjadi pilihan.</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pergeseran itu bertentangan dengan hakikat naskah akademik itu sendiri. Naskah akademik merupakan pertanggungjawaban ilmiah atas keberadaan setiap pasal yang dituangkan dalam peraturan daerah, dan penyusunannya diawali dengan penelitian atas nilai-nilai yang hidup dalam masyarakat sehingga peraturan yang lahir bersifat responsif dan mudah diterima. Menempatkannya sederajat dengan penjelasan atau keterangan berarti menyamakan hasil penelitian dengan uraian administratif. Argumentasi tersebut dapat dipahami karena peraturan daerah yang tidak berpijak pada kajian berisiko tidak menjawab kebutuhan hukum masyarakat yang hendak diaturnya (Huda, 2014).</w:t>
      </w:r>
    </w:p>
    <w:p>
      <w:pPr>
        <w:pStyle w:val="IEEEParagraph"/>
        <w:ind w:left="567" w:right="322" w:firstLine="567"/>
        <w:rPr>
          <w:rFonts w:ascii="Segoe UI" w:hAnsi="Segoe UI" w:cs="Segoe UI"/>
          <w:sz w:val="22"/>
          <w:szCs w:val="22"/>
        </w:rPr>
      </w:pPr>
      <w:r>
        <w:rPr>
          <w:rFonts w:ascii="Segoe UI" w:hAnsi="Segoe UI" w:cs="Segoe UI"/>
          <w:sz w:val="22"/>
          <w:szCs w:val="22"/>
        </w:rPr>
        <w:t xml:space="preserve">Meskipun demikian, pandangan yang berbeda perlu dikemukakan secara jujur. Kelonggaran rumusan itu dapat pula dipahami sebagai kemudahan yang sengaja diberikan pembentuk undang-undang, mengingat tidak semua rancangan peraturan daerah memiliki bobot pengaturan yang menuntut penelitian mendalam dan tidak semua daerah memiliki kemampuan menyusun naskah akademik untuk setiap rancangan. Karena itu jalan keluar yang lebih proporsional bukanlah mewajibkan naskah akademik tanpa kecuali, melainkan menegaskan kriteria rancangan mana yang wajib disertai naskah akademik dan mana yang cukup disertai penjelasan, sehingga kepastian hukum terpelihara tanpa membebani daerah secara berlebihan.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Kendala kedua bersumber pada dinamika perubahan peraturan. Keluhan mengenai peraturan yang berubah-ubah kerap terdengar abstrak, padahal dalam rentang yang diteliti keluhan itu memiliki dasar yang sangat konkret. Undang-Undang Nomor 12 Tahun 2011 sendiri telah dua kali diubah, yaitu melalui Undang-Undang Nomor 15 Tahun 2019 dan Undang-Undang Nomor 13 Tahun 2022, sedangkan peraturan menteri mengenai pembentukan produk hukum daerah juga mengalami perubahan. Perubahan terakhir bahkan menyentuh hal yang langsung berkaitan dengan kendala pertama dan ketiga, sebab di dalamnya termuat perubahan teknik penyusunan naskah akademik serta perubahan sistem pendukung dari peneliti menjadi pejabat fungsional lain yang lingkup tugasnya berkaitan dengan pembentukan peraturan perundang-undangan.</w:t>
      </w:r>
    </w:p>
    <w:p>
      <w:pPr>
        <w:pStyle w:val="IEEEParagraph"/>
        <w:ind w:left="567" w:right="322" w:firstLine="567"/>
        <w:rPr>
          <w:rFonts w:ascii="Segoe UI" w:hAnsi="Segoe UI" w:cs="Segoe UI"/>
          <w:sz w:val="22"/>
          <w:szCs w:val="22"/>
        </w:rPr>
      </w:pPr>
      <w:r>
        <w:rPr>
          <w:rFonts w:ascii="Segoe UI" w:hAnsi="Segoe UI" w:cs="Segoe UI"/>
          <w:sz w:val="22"/>
          <w:szCs w:val="22"/>
        </w:rPr>
        <w:t xml:space="preserve">Beban perubahan itu bertambah oleh perubahan kelembagaan wilayah. Pembentukan Provinsi Papua Selatan pada 2022 mengubah saluran fasilitasi dan evaluasi bagi rancangan peraturan daerah kabupaten, sementara kerangka otonomi khusus bagi wilayah Papua sebagaimana diatur dalam Undang-Undang Nomor 2 Tahun 2021 menuntut kepekaan tersendiri dalam merumuskan materi muatan yang menopang ciri khas daerah. Temuan ini memperlihatkan bahwa kendala kedua tidak sepenuhnya bersumber pada kelalaian daerah, melainkan pada keadaan struktural yang menuntut penyesuaian berulang dalam waktu yang berdekatan.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Kendala ketiga dan keempat bersumber pada kapasitas. Ketersediaan perancang, peneliti, dan tenaga ahli merupakan penentu kualitas peraturan daerah, dan peraturan menteri dalam negeri bahkan mewajibkan agar setiap tahapan pembentukan peraturan daerah mengikutsertakan perancang, peneliti, dan/atau tenaga ahli. Namun keterbatasan jumlah dan kualitas aparatur pada bagian hukum menyebabkan kewajiban itu sulit dipenuhi sepenuhnya. Adapun anggaran menentukan kelancaran setiap tahapan, mulai dari penelitian dan penyusunan naskah akademik sampai pengundangan dan sosialisasi, sedangkan dalam praktik anggaran yang diusulkan tidak selalu disetujui sehingga sebagian rancangan tertunda pembahasannya.</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pemilahan pada Tabel 2 menghasilkan satu simpulan yang penting bagi kebijakan. Keempat kendala tidak dapat dijawab dengan satu jenis jalan keluar. Kendala normatif menuntut perubahan atau penegasan rumusan norma, kendala struktural menuntut penguatan sistem pemantauan dan harmonisasi, sedangkan kendala kapasitas kelembagaan dan fiskal menuntut penguatan sumber daya dan keterpaduan perencanaan. Jika dikaitkan dengan pandangan bahwa bekerjanya hukum ditentukan tidak hanya oleh normanya melainkan juga oleh aparat, sarana, masyarakat, dan kebudayaan (Soekanto, 2014), maka penguatan pembentukan peraturan daerah di daerah otonom baru menuntut pembenahan pada seluruh unsur tersebut secara bersamaan. Pembenahan itu pada akhirnya bertujuan agar peraturan daerah tidak berhenti sebagai dokumen formal, melainkan benar-benar menjawab kebutuhan masyarakat yang diaturnya, sejalan dengan gagasan bahwa hukum ada untuk manusia dan bukan sebaliknya (Rahardjo, 2009).</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Implementasi peran pemerintah daerah dalam pembentukan peraturan daerah di Kabupaten Mappi, Provinsi Papua Selatan, dijalankan melalui penyusunan program pembentukan peraturan daerah bersama dewan perwakilan rakyat daerah dan penetapan rancangan yang telah memperoleh persetujuan bersama, dalam rangka pelaksanaan otonomi dan tugas pembantuan serta penjabaran peraturan perundang-undangan yang lebih tinggi sekaligus penopang ciri khas daerah. Peran tersebut dikoordinasikan oleh Bagian Hukum dan Hak Asasi Manusia Sekretariat Daerah untuk usulan yang berasal dari unsur eksekutif dan oleh badan pembentukan peraturan daerah untuk usulan yang berasal dari unsur legislatif, dengan fasilitasi dan evaluasi oleh gubernur sebagai wakil pemerintah pusat. Dari 27 rancangan yang diprogramkan sepanjang 2020 sampai 2022, sebanyak 22 rancangan berhasil ditetapkan dan 5 rancangan dilanjutkan pada program tahun berikutnya, sehingga hambatan yang terjadi terletak pada tataran proses dan bukan pada tataran substansi.</w:t>
      </w:r>
    </w:p>
    <w:p>
      <w:pPr>
        <w:pStyle w:val="IEEEParagraph"/>
        <w:ind w:left="567" w:right="322" w:firstLine="567"/>
        <w:rPr>
          <w:rFonts w:ascii="Segoe UI" w:hAnsi="Segoe UI" w:cs="Segoe UI"/>
          <w:sz w:val="22"/>
          <w:szCs w:val="22"/>
        </w:rPr>
      </w:pPr>
      <w:r>
        <w:rPr>
          <w:rFonts w:ascii="Segoe UI" w:hAnsi="Segoe UI" w:cs="Segoe UI"/>
          <w:sz w:val="22"/>
          <w:szCs w:val="22"/>
        </w:rPr>
        <w:t xml:space="preserve">Kendala yang dihadapi meliputi penyusunan naskah akademik, peraturan perundang-undangan yang berubah-ubah, keterbatasan sumber daya manusia, dan keterbatasan anggaran. Penelitian ini menemukan bahwa keempatnya tidak sejenis. Kendala penyusunan naskah akademik bersumber pada rumusan norma yang menempatkan naskah akademik sederajat dengan penjelasan atau keterangan sehingga kedudukannya bergeser dari kewajiban menjadi pilihan. Kendala peraturan yang berubah-ubah bersifat struktural dan dalam perkara ini diperberat oleh status daerah dalam masa peralihan menyusul pembentukan provinsi baru pada 2022, yang mengubah saluran fasilitasi dan evaluasi rancangan peraturan daerah. Adapun kendala sumber daya manusia dan anggaran bersumber pada kapasitas kelembagaan dan kapasitas fiskal daerah.</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pembentuk undang-undang menegaskan kriteria rancangan peraturan daerah yang wajib disertai naskah akademik dan yang cukup disertai penjelasan, sehingga kepastian hukum terpelihara tanpa membebani daerah secara berlebihan. Bagi pemerintah daerah, peningkatan kapasitas aparatur pada bagian hukum perlu ditempuh melalui pendidikan formal dan nonformal serta melalui kerja sama dengan perguruan tinggi dan pejabat fungsional perancang, agar kewajiban mengikutsertakan perancang, peneliti, dan tenaga ahli pada setiap tahapan dapat dipenuhi. Penyusunan program pembentukan peraturan daerah juga perlu dipadukan dengan perencanaan anggaran sejak awal agar rancangan yang telah diprogramkan tidak tertunda karena ketiadaan pembiayaan. Bagi pemerintah provinsi yang baru dibentuk, penataan perangkat pendukung fasilitasi dan evaluasi perlu dipercepat agar tidak menambah beban proses bagi kabupaten. Adapun bagi pengembangan ilmu, penelitian lanjutan disarankan membandingkan pembentukan peraturan daerah pada beberapa kabupaten di provinsi yang baru dibentuk guna menguji apakah pola kendala yang ditemukan bersifat khas atau berlaku umum.</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Asshiddiqie, J. (2010). </w:t>
      </w:r>
      <w:r>
        <w:rPr>
          <w:rFonts w:cs="Segoe UI"/>
          <w:sz w:val="20"/>
          <w:szCs w:val="20"/>
          <w:i/>
          <w:iCs/>
        </w:rPr>
        <w:t xml:space="preserve">Perihal undang-undang</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Attamimi, A. H. S. (1990). </w:t>
      </w:r>
      <w:r>
        <w:rPr>
          <w:rFonts w:cs="Segoe UI"/>
          <w:sz w:val="20"/>
          <w:szCs w:val="20"/>
          <w:i/>
          <w:iCs/>
        </w:rPr>
        <w:t xml:space="preserve">Peranan keputusan Presiden Republik Indonesia dalam penyelenggaraan pemerintahan negara</w:t>
      </w:r>
      <w:r>
        <w:rPr>
          <w:rFonts w:cs="Segoe UI"/>
          <w:sz w:val="20"/>
          <w:szCs w:val="20"/>
        </w:rPr>
        <w:t xml:space="preserve"> [Disertasi doktor, Universitas Indonesia].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Hadjon, P. M., dkk. (2011). </w:t>
      </w:r>
      <w:r>
        <w:rPr>
          <w:rFonts w:cs="Segoe UI"/>
          <w:sz w:val="20"/>
          <w:szCs w:val="20"/>
          <w:i/>
          <w:iCs/>
        </w:rPr>
        <w:t xml:space="preserve">Pengantar hukum administrasi Indonesia</w:t>
      </w:r>
      <w:r>
        <w:rPr>
          <w:rFonts w:cs="Segoe UI"/>
          <w:sz w:val="20"/>
          <w:szCs w:val="20"/>
        </w:rPr>
        <w:t xml:space="preserve">. Gadjah Mada University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Huda, N. (2014). </w:t>
      </w:r>
      <w:r>
        <w:rPr>
          <w:rFonts w:cs="Segoe UI"/>
          <w:sz w:val="20"/>
          <w:szCs w:val="20"/>
          <w:i/>
          <w:iCs/>
        </w:rPr>
        <w:t xml:space="preserve">Hukum pemerintahan daerah</w:t>
      </w:r>
      <w:r>
        <w:rPr>
          <w:rFonts w:cs="Segoe UI"/>
          <w:sz w:val="20"/>
          <w:szCs w:val="20"/>
        </w:rPr>
        <w:t xml:space="preserve">. Nusa Media.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Indrati, M. F. (2007). </w:t>
      </w:r>
      <w:r>
        <w:rPr>
          <w:rFonts w:cs="Segoe UI"/>
          <w:sz w:val="20"/>
          <w:szCs w:val="20"/>
          <w:i/>
          <w:iCs/>
        </w:rPr>
        <w:t xml:space="preserve">Ilmu perundang-undangan: Jenis, fungsi, dan materi muatan</w:t>
      </w:r>
      <w:r>
        <w:rPr>
          <w:rFonts w:cs="Segoe UI"/>
          <w:sz w:val="20"/>
          <w:szCs w:val="20"/>
        </w:rPr>
        <w:t xml:space="preserve">. Kanisius.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Manan, B. (1994). </w:t>
      </w:r>
      <w:r>
        <w:rPr>
          <w:rFonts w:cs="Segoe UI"/>
          <w:sz w:val="20"/>
          <w:szCs w:val="20"/>
          <w:i/>
          <w:iCs/>
        </w:rPr>
        <w:t xml:space="preserve">Dasar-dasar perundang-undangan Indonesia</w:t>
      </w:r>
      <w:r>
        <w:rPr>
          <w:rFonts w:cs="Segoe UI"/>
          <w:sz w:val="20"/>
          <w:szCs w:val="20"/>
        </w:rPr>
        <w:t xml:space="preserve">. Ind-Hill Co.</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Marzuki, P. M. (2016). </w:t>
      </w:r>
      <w:r>
        <w:rPr>
          <w:rFonts w:cs="Segoe UI"/>
          <w:sz w:val="20"/>
          <w:szCs w:val="20"/>
          <w:i/>
          <w:iCs/>
        </w:rPr>
        <w:t xml:space="preserve">Penelitian hukum</w:t>
      </w:r>
      <w:r>
        <w:rPr>
          <w:rFonts w:cs="Segoe UI"/>
          <w:sz w:val="20"/>
          <w:szCs w:val="20"/>
        </w:rPr>
        <w:t xml:space="preserve">. Kencana.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Rahardjo, S. (2009). </w:t>
      </w:r>
      <w:r>
        <w:rPr>
          <w:rFonts w:cs="Segoe UI"/>
          <w:sz w:val="20"/>
          <w:szCs w:val="20"/>
          <w:i/>
          <w:iCs/>
        </w:rPr>
        <w:t xml:space="preserve">Hukum progresif: Sebuah sintesa hukum Indonesia</w:t>
      </w:r>
      <w:r>
        <w:rPr>
          <w:rFonts w:cs="Segoe UI"/>
          <w:sz w:val="20"/>
          <w:szCs w:val="20"/>
        </w:rPr>
        <w:t xml:space="preserve">. Genta Publishing.</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Ridwan HR. (2016). </w:t>
      </w:r>
      <w:r>
        <w:rPr>
          <w:rFonts w:cs="Segoe UI"/>
          <w:sz w:val="20"/>
          <w:szCs w:val="20"/>
          <w:i/>
          <w:iCs/>
        </w:rPr>
        <w:t xml:space="preserve">Hukum administrasi negara</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Soekanto, S. (2014). </w:t>
      </w:r>
      <w:r>
        <w:rPr>
          <w:rFonts w:cs="Segoe UI"/>
          <w:sz w:val="20"/>
          <w:szCs w:val="20"/>
          <w:i/>
          <w:iCs/>
        </w:rPr>
        <w:t xml:space="preserve">Faktor-faktor yang mempengaruhi penegakan hukum</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Dasar Negara Republik Indonesia Tahun 1945.</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12 Tahun 2011 tentang Pembentukan Peraturan Perundang-undangan.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23 Tahun 2014 tentang Pemerintahan Daerah.</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15 Tahun 2019 tentang Perubahan atas Undang-Undang Nomor 12 Tahun 2011 tentang Pembentukan Peraturan Perundang-undangan.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 Tahun 2021 tentang Perubahan Kedua atas Undang-Undang Nomor 21 Tahun 2001 tentang Otonomi Khusus bagi Provinsi Papua.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13 Tahun 2022 tentang Perubahan Kedua atas Undang-Undang Nomor 12 Tahun 2011 tentang Pembentukan Peraturan Perundang-undangan.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14 Tahun 2022 tentang Pembentukan Provinsi Papua Selatan.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Peraturan Menteri Dalam Negeri Republik Indonesia Nomor 80 Tahun 2015 tentang Pembentukan Produk Hukum Daerah.</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Peraturan Menteri Dalam Negeri Republik Indonesia Nomor 120 Tahun 2018 tentang Perubahan atas Peraturan Menteri Dalam Negeri Nomor 80 Tahun 2015 tentang Pembentukan Produk Hukum Daerah.</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Renaldo Oktovianus Ruspanah</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