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7C5E7" w14:textId="2A705733" w:rsidR="00AD7C4B" w:rsidRPr="00C676AF" w:rsidRDefault="00E109A4" w:rsidP="007677D4">
      <w:pPr>
        <w:spacing w:after="0" w:line="240" w:lineRule="auto"/>
        <w:jc w:val="left"/>
        <w:rPr>
          <w:rFonts w:cs="Segoe UI"/>
          <w:i/>
          <w:iCs/>
          <w:sz w:val="20"/>
          <w:szCs w:val="20"/>
          <w:u w:val="single"/>
          <w:lang w:val="en-US"/>
        </w:rPr>
      </w:pPr>
      <w:r>
        <w:rPr>
          <w:rFonts w:cs="Segoe UI"/>
          <w:b/>
          <w:noProof/>
          <w:sz w:val="28"/>
          <w:szCs w:val="28"/>
        </w:rPr>
        <w:drawing>
          <wp:anchor distT="0" distB="0" distL="114300" distR="114300" simplePos="0" relativeHeight="251666432" behindDoc="1" locked="0" layoutInCell="1" allowOverlap="1" wp14:anchorId="1B08ECF7" wp14:editId="16FBEA8B">
            <wp:simplePos x="0" y="0"/>
            <wp:positionH relativeFrom="column">
              <wp:posOffset>4856480</wp:posOffset>
            </wp:positionH>
            <wp:positionV relativeFrom="paragraph">
              <wp:posOffset>51435</wp:posOffset>
            </wp:positionV>
            <wp:extent cx="1019175" cy="1130935"/>
            <wp:effectExtent l="0" t="0" r="9525" b="0"/>
            <wp:wrapThrough wrapText="bothSides">
              <wp:wrapPolygon edited="0">
                <wp:start x="0" y="0"/>
                <wp:lineTo x="0" y="21103"/>
                <wp:lineTo x="21398" y="21103"/>
                <wp:lineTo x="21398" y="0"/>
                <wp:lineTo x="0" y="0"/>
              </wp:wrapPolygon>
            </wp:wrapThrough>
            <wp:docPr id="147020616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06167" name="Picture 14702061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19175" cy="1130935"/>
                    </a:xfrm>
                    <a:prstGeom prst="rect">
                      <a:avLst/>
                    </a:prstGeom>
                  </pic:spPr>
                </pic:pic>
              </a:graphicData>
            </a:graphic>
            <wp14:sizeRelH relativeFrom="margin">
              <wp14:pctWidth>0</wp14:pctWidth>
            </wp14:sizeRelH>
            <wp14:sizeRelV relativeFrom="margin">
              <wp14:pctHeight>0</wp14:pctHeight>
            </wp14:sizeRelV>
          </wp:anchor>
        </w:drawing>
      </w:r>
      <w:r>
        <w:rPr>
          <w:rFonts w:cs="Segoe UI"/>
          <w:i/>
          <w:iCs/>
          <w:noProof/>
          <w:sz w:val="20"/>
          <w:szCs w:val="20"/>
          <w:u w:val="single"/>
          <w:lang w:val="en-IN" w:eastAsia="en-IN"/>
        </w:rPr>
        <w:drawing>
          <wp:anchor distT="0" distB="0" distL="114300" distR="114300" simplePos="0" relativeHeight="251665408" behindDoc="0" locked="0" layoutInCell="1" allowOverlap="1" wp14:anchorId="5A661B6C" wp14:editId="2AD682DE">
            <wp:simplePos x="0" y="0"/>
            <wp:positionH relativeFrom="column">
              <wp:posOffset>8255</wp:posOffset>
            </wp:positionH>
            <wp:positionV relativeFrom="paragraph">
              <wp:posOffset>120650</wp:posOffset>
            </wp:positionV>
            <wp:extent cx="939800" cy="880110"/>
            <wp:effectExtent l="0" t="0" r="0" b="0"/>
            <wp:wrapThrough wrapText="bothSides">
              <wp:wrapPolygon edited="0">
                <wp:start x="0" y="0"/>
                <wp:lineTo x="0" y="21039"/>
                <wp:lineTo x="21016" y="21039"/>
                <wp:lineTo x="21016" y="0"/>
                <wp:lineTo x="0" y="0"/>
              </wp:wrapPolygon>
            </wp:wrapThrough>
            <wp:docPr id="149130242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302423" name="Picture 1491302423"/>
                    <pic:cNvPicPr/>
                  </pic:nvPicPr>
                  <pic:blipFill>
                    <a:blip r:embed="rId9">
                      <a:extLst>
                        <a:ext uri="{28A0092B-C50C-407E-A947-70E740481C1C}">
                          <a14:useLocalDpi xmlns:a14="http://schemas.microsoft.com/office/drawing/2010/main" val="0"/>
                        </a:ext>
                      </a:extLst>
                    </a:blip>
                    <a:stretch>
                      <a:fillRect/>
                    </a:stretch>
                  </pic:blipFill>
                  <pic:spPr>
                    <a:xfrm>
                      <a:off x="0" y="0"/>
                      <a:ext cx="939800" cy="880110"/>
                    </a:xfrm>
                    <a:prstGeom prst="rect">
                      <a:avLst/>
                    </a:prstGeom>
                  </pic:spPr>
                </pic:pic>
              </a:graphicData>
            </a:graphic>
            <wp14:sizeRelH relativeFrom="margin">
              <wp14:pctWidth>0</wp14:pctWidth>
            </wp14:sizeRelH>
            <wp14:sizeRelV relativeFrom="margin">
              <wp14:pctHeight>0</wp14:pctHeight>
            </wp14:sizeRelV>
          </wp:anchor>
        </w:drawing>
        <mc:AlternateContent>
          <mc:Choice Requires="wps">
            <w:drawing>
              <wp:anchor distT="0" distB="0" distL="114300" distR="114300" simplePos="0" relativeHeight="251659264" behindDoc="0" locked="0" layoutInCell="1" allowOverlap="1" wp14:anchorId="4607559D" wp14:editId="689AADC1">
                <wp:simplePos x="0" y="0"/>
                <wp:positionH relativeFrom="column">
                  <wp:posOffset>9525</wp:posOffset>
                </wp:positionH>
                <wp:positionV relativeFrom="paragraph">
                  <wp:posOffset>-28576</wp:posOffset>
                </wp:positionV>
                <wp:extent cx="5667375" cy="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5667375" cy="0"/>
                        </a:xfrm>
                        <a:prstGeom prst="line">
                          <a:avLst/>
                        </a:prstGeom>
                        <a:ln w="12700">
                          <a:solidFill>
                            <a:srgbClr val="000000"/>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2D52145E" id="Straight Connector 1"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2.25pt" to="447pt,-2.2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nJtlxgEAAN0DAAAOAAAAZHJzL2Uyb0RvYy54bWysU0uP2yAQvlfqf0DcGzupNqmsOHvY1fZS tau+7gQPMSowCGjs/PsO2PFuH4eqqg8I5vHNfN+M97ejNewMIWp0LV+vas7ASey0O7X8y+eHV284 i0m4Thh00PILRH57ePliP/gGNtij6SAwAnGxGXzL+5R8U1VR9mBFXKEHR06FwYpEz3CquiAGQrem 2tT1thowdD6ghBjJej85+aHgKwUyfVAqQmKm5dRbKmco5zGf1WEvmlMQvtdybkP8QxdWaEdFF6h7 kQT7HvRvUFbLgBFVWkm0FSqlJRQOxGZd/8LmUy88FC4kTvSLTPH/wcr35zv3GEiGwccm+seQWYwq WKaM9l9ppoUXdcrGIttlkQ3GxCQZb7bb3evdDWfy6qsmiAzlQ0xvAS3Ll5Yb7TIj0Yjzu5ioLIVe Q7LZODZQzc2urktYRKO7B21MdsZwOt6ZwM4iT7N8eYAE8SyMXsaR8YlPuaWLganAR1BMd9T3xKys Giyw3bf1jGkcReYUReWXpLmtvJ9/SppjcxqU9fvbxCW6VESXlkSrHYZJjJ+rpvHaqprir6wnrpn2 EbtLmW6Rg3aoqDXve17S5++S/vRXHn4AAAD//wMAUEsDBBQABgAIAAAAIQD70Wfa2wAAAAcBAAAP AAAAZHJzL2Rvd25yZXYueG1sTI9BT8MwDIXvSPsPkSdx29KxgUppOk2VuCHBBuKcNl5b1jhVkm7d v8eIA5ys5/f0/DnfTrYXZ/Shc6RgtUxAINXOdNQo+Hh/XqQgQtRkdO8IFVwxwLaY3eQ6M+5Cezwf YiO4hEKmFbQxDpmUoW7R6rB0AxJ7R+etjix9I43XFy63vbxLkgdpdUd8odUDli3Wp8NoFXSyXFWf vjy+XTFdx/Xr/utlnJS6nU+7JxARp/gXhh98RoeCmSo3kgmiZ33PQQWLDU+208cNv1b9LmSRy//8 xTcAAAD//wMAUEsBAi0AFAAGAAgAAAAhALaDOJL+AAAA4QEAABMAAAAAAAAAAAAAAAAAAAAAAFtD b250ZW50X1R5cGVzXS54bWxQSwECLQAUAAYACAAAACEAOP0h/9YAAACUAQAACwAAAAAAAAAAAAAA AAAvAQAAX3JlbHMvLnJlbHNQSwECLQAUAAYACAAAACEAk5ybZcYBAADdAwAADgAAAAAAAAAAAAAA AAAuAgAAZHJzL2Uyb0RvYy54bWxQSwECLQAUAAYACAAAACEA+9Fn2tsAAAAHAQAADwAAAAAAAAAA AAAAAAAgBAAAZHJzL2Rvd25yZXYueG1sUEsFBgAAAAAEAAQA8wAAACgFAAAAAA== " strokeweight="1pt">
                <v:stroke joinstyle="miter"/>
              </v:line>
            </w:pict>
          </mc:Fallback>
        </mc:AlternateContent>
      </w:r>
      <w:r>
        <w:rPr>
          <w:rFonts w:cs="Segoe UI"/>
          <w:i/>
          <w:noProof/>
          <w:sz w:val="16"/>
          <w:szCs w:val="16"/>
          <w:lang w:val="en-IN" w:eastAsia="en-IN"/>
        </w:rPr>
        <w:t xml:space="preserve">                                       </w:t>
      </w:r>
      <w:hyperlink r:id="rId10" w:history="1">
        <w:r>
          <w:rPr>
            <w:rStyle w:val="Hyperlink"/>
            <w:rFonts w:cs="Segoe UI"/>
            <w:i/>
            <w:noProof/>
            <w:sz w:val="16"/>
            <w:szCs w:val="16"/>
            <w:lang w:val="en-IN" w:eastAsia="en-IN"/>
          </w:rPr>
          <w:t>https://ojs.ukipaulus.ac.id/index.php/psnp</w:t>
        </w:r>
      </w:hyperlink>
      <w:r>
        <w:rPr>
          <w:rFonts w:cs="Segoe UI"/>
          <w:i/>
          <w:noProof/>
          <w:sz w:val="16"/>
          <w:szCs w:val="16"/>
          <w:lang w:val="en-IN" w:eastAsia="en-IN"/>
        </w:rPr>
        <w:t xml:space="preserve"> </w:t>
      </w:r>
      <w:r>
        <w:t xml:space="preserve">  </w:t>
      </w:r>
    </w:p>
    <w:p w14:paraId="76CB2357" w14:textId="77777777" w:rsidR="00CB3BDB"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Seminar Nasional </w:t>
      </w:r>
    </w:p>
    <w:p w14:paraId="747235D0" w14:textId="1EC4966A" w:rsidR="006F20C0" w:rsidRPr="006F20C0" w:rsidRDefault="006F20C0" w:rsidP="00E109A4">
      <w:pPr>
        <w:tabs>
          <w:tab w:val="left" w:pos="612"/>
          <w:tab w:val="center" w:pos="4513"/>
        </w:tabs>
        <w:spacing w:after="0" w:line="240" w:lineRule="auto"/>
        <w:jc w:val="center"/>
        <w:rPr>
          <w:rFonts w:cs="Segoe UI"/>
          <w:b/>
          <w:sz w:val="36"/>
          <w:szCs w:val="28"/>
        </w:rPr>
      </w:pPr>
      <w:r>
        <w:rPr>
          <w:rFonts w:cs="Segoe UI"/>
          <w:b/>
          <w:sz w:val="36"/>
          <w:szCs w:val="28"/>
        </w:rPr>
        <w:t xml:space="preserve">Humanesia Pascasarjana</w:t>
      </w:r>
    </w:p>
    <w:p w14:paraId="5199D495" w14:textId="2F27610F" w:rsidR="00AD7C4B" w:rsidRDefault="003A4408" w:rsidP="003A4408">
      <w:pPr>
        <w:spacing w:after="0" w:line="240" w:lineRule="auto"/>
        <w:jc w:val="center"/>
        <w:rPr>
          <w:rFonts w:cs="Segoe UI"/>
          <w:b/>
          <w:sz w:val="16"/>
          <w:szCs w:val="16"/>
        </w:rPr>
      </w:pPr>
      <w:r>
        <w:rPr>
          <w:rFonts w:cs="Segoe UI"/>
          <w:b/>
          <w:sz w:val="16"/>
          <w:szCs w:val="16"/>
        </w:rPr>
        <w:t xml:space="preserve">(Humaniora, Ekonomi, Bisnis, Manajemen, Hukum dan Sosiologi)</w:t>
      </w:r>
    </w:p>
    <w:p w14:paraId="3F128BA9" w14:textId="0ED6C639" w:rsidR="0010607A" w:rsidRDefault="00886EB8" w:rsidP="00E109A4">
      <w:pPr>
        <w:spacing w:after="0" w:line="240" w:lineRule="auto"/>
        <w:jc w:val="center"/>
        <w:rPr>
          <w:rFonts w:cs="Segoe UI"/>
          <w:b/>
        </w:rPr>
      </w:pPr>
      <w:r>
        <w:rPr>
          <w:rFonts w:cs="Segoe UI"/>
          <w:b/>
        </w:rPr>
        <w:t>Universitas Kristen Indonesia Paulus</w:t>
      </w:r>
    </w:p>
    <w:p w14:paraId="42211695" w14:textId="133865A4" w:rsidR="007677D4" w:rsidRPr="0010607A" w:rsidRDefault="00E109A4" w:rsidP="00E109A4">
      <w:pPr>
        <w:spacing w:after="0" w:line="240" w:lineRule="auto"/>
        <w:jc w:val="left"/>
        <w:rPr>
          <w:rFonts w:cs="Segoe UI"/>
          <w:b/>
          <w:sz w:val="20"/>
          <w:szCs w:val="20"/>
        </w:rPr>
      </w:pPr>
      <w:r>
        <w:rPr>
          <w:rFonts w:cs="Segoe UI"/>
          <w:b/>
          <w:sz w:val="20"/>
          <w:szCs w:val="20"/>
        </w:rPr>
        <w:t xml:space="preserve">                                                                 Makassar, Indonesia</w:t>
      </w:r>
    </w:p>
    <w:p w14:paraId="4A29B526" w14:textId="0137736E" w:rsidR="001E0508" w:rsidRPr="00C676AF" w:rsidRDefault="00E109A4" w:rsidP="007677D4">
      <w:pPr>
        <w:spacing w:after="0" w:line="240" w:lineRule="auto"/>
        <w:jc w:val="left"/>
        <w:rPr>
          <w:rFonts w:cs="Segoe UI"/>
          <w:b/>
          <w:sz w:val="20"/>
          <w:szCs w:val="20"/>
        </w:rPr>
      </w:pPr>
      <w:r>
        <w:rPr>
          <w:rFonts w:cs="Segoe UI"/>
          <w:b/>
          <w:noProof/>
          <w:sz w:val="20"/>
          <w:szCs w:val="20"/>
          <w:lang w:val="en-IN" w:eastAsia="en-IN"/>
        </w:rPr>
        <mc:AlternateContent>
          <mc:Choice Requires="wps">
            <w:drawing>
              <wp:anchor distT="0" distB="0" distL="114300" distR="114300" simplePos="0" relativeHeight="251662336" behindDoc="0" locked="0" layoutInCell="1" allowOverlap="1" wp14:anchorId="2D9566A5" wp14:editId="25844FD6">
                <wp:simplePos x="0" y="0"/>
                <wp:positionH relativeFrom="column">
                  <wp:posOffset>9525</wp:posOffset>
                </wp:positionH>
                <wp:positionV relativeFrom="paragraph">
                  <wp:posOffset>131960</wp:posOffset>
                </wp:positionV>
                <wp:extent cx="5676900" cy="0"/>
                <wp:effectExtent l="0" t="19050" r="19050" b="19050"/>
                <wp:wrapNone/>
                <wp:docPr id="5" name="Straight Connector 5"/>
                <wp:cNvGraphicFramePr/>
                <a:graphic xmlns:a="http://schemas.openxmlformats.org/drawingml/2006/main">
                  <a:graphicData uri="http://schemas.microsoft.com/office/word/2010/wordprocessingShape">
                    <wps:wsp>
                      <wps:cNvCnPr/>
                      <wps:spPr>
                        <a:xfrm flipV="1">
                          <a:off x="0" y="0"/>
                          <a:ext cx="5676900" cy="0"/>
                        </a:xfrm>
                        <a:prstGeom prst="line">
                          <a:avLst/>
                        </a:prstGeom>
                        <a:ln w="38100">
                          <a:solidFill>
                            <a:srgbClr val="008ED2"/>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E7FE06" id="Straight Connector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0.4pt" to="447.75pt,10.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AzCzEyQEAAN0DAAAOAAAAZHJzL2Uyb0RvYy54bWysU01v2zAMvQ/YfxB0X+ykWJYacXpo1l2G rVi73RWJioXqC5IWO/9+lOy43cdhGHYRRIp85HuktjeD0eQEISpnW7pc1JSA5U4oe2zp18e7NxtK YmJWMO0stPQMkd7sXr/a9r6BleucFhAIgtjY9L6lXUq+qarIOzAsLpwHi4/SBcMSmuFYicB6RDe6 WtX1uupdED44DjGidz8+0l3BlxJ4+ixlhER0S7G3VM5QzkM+q92WNcfAfKf41Ab7hy4MUxaLzlB7 lhj5HtRvUEbx4KKTacGdqZyUikPhgGyW9S9sHjrmoXBBcaKfZYr/D5Z/Ot3a+4Ay9D420d+HzGKQ wRCplf+GMy28sFMyFNnOs2wwJMLR+Xb9bn1do7r88laNEBnKh5g+gDMkX1qqlc2MWMNOH2PCshh6 CclubUnf0qvNEvGyHZ1W4k5pXYxwPNzqQE4sT7PevN+v8gAR4kUYWtqi85lPuaWzhrHAF5BECex7 ZFZWDWZY8bScMLXFyJwisfycNLWV9/NPSVNsToOyfn+bOEeXis6mOdEo68Ioxs9V03BpVY7xF9Yj 10z74MS5TLfIgTtU1Jr2PS/pS7ukP//K3Q8AAAD//wMAUEsDBBQABgAIAAAAIQAqp0Nf2QAAAAcB AAAPAAAAZHJzL2Rvd25yZXYueG1sTI9NT8JAEIbvJv6HzZh4ky0YFEq3RE3w4gWReB66Y9t0d7bp LlD+vWM86PH9yDvPFOvRO3WiIbaBDUwnGSjiKtiWawP7j83dAlRMyBZdYDJwoQjr8vqqwNyGM7/T aZdqJSMcczTQpNTnWseqIY9xEnpiyb7C4DGJHGptBzzLuHd6lmUP2mPLcqHBnl4aqrrd0RvoH+my Hfc0ve/ctn17xtcNdp/G3N6MTytQicb0V4YffEGHUpgO4cg2Kid6LkUDs0wekHixnItx+DV0Wej/ /OU3AAAA//8DAFBLAQItABQABgAIAAAAIQC2gziS/gAAAOEBAAATAAAAAAAAAAAAAAAAAAAAAABb Q29udGVudF9UeXBlc10ueG1sUEsBAi0AFAAGAAgAAAAhADj9If/WAAAAlAEAAAsAAAAAAAAAAAAA AAAALwEAAF9yZWxzLy5yZWxzUEsBAi0AFAAGAAgAAAAhAMDMLMTJAQAA3QMAAA4AAAAAAAAAAAAA AAAALgIAAGRycy9lMm9Eb2MueG1sUEsBAi0AFAAGAAgAAAAhACqnQ1/ZAAAABwEAAA8AAAAAAAAA AAAAAAAAIwQAAGRycy9kb3ducmV2LnhtbFBLBQYAAAAABAAEAPMAAAApBQAAAAA= " strokecolor="#008ed2" strokeweight="3pt">
                <v:stroke joinstyle="miter"/>
              </v:line>
            </w:pict>
          </mc:Fallback>
        </mc:AlternateContent>
      </w:r>
    </w:p>
    <w:p w14:paraId="157D411B" w14:textId="4E006BE1" w:rsidR="00AD7C4B" w:rsidRPr="00C676AF" w:rsidRDefault="00AD7C4B" w:rsidP="00676A1B">
      <w:pPr>
        <w:tabs>
          <w:tab w:val="right" w:pos="9026"/>
        </w:tabs>
        <w:spacing w:after="0" w:line="240" w:lineRule="auto"/>
        <w:rPr>
          <w:rFonts w:cs="Segoe UI"/>
          <w:b/>
          <w:sz w:val="20"/>
          <w:szCs w:val="20"/>
        </w:rPr>
      </w:pPr>
      <w:r>
        <w:rPr>
          <w:rFonts w:cs="Segoe UI"/>
          <w:b/>
          <w:sz w:val="20"/>
          <w:szCs w:val="20"/>
        </w:rPr>
        <w:tab/>
      </w:r>
    </w:p>
    <w:p w14:paraId="01376EA5" w14:textId="3A933C7B" w:rsidR="00676A1B" w:rsidRPr="003A4408" w:rsidRDefault="006F20C0" w:rsidP="00100027">
      <w:pPr>
        <w:tabs>
          <w:tab w:val="right" w:pos="9026"/>
        </w:tabs>
        <w:spacing w:after="0" w:line="240" w:lineRule="auto"/>
        <w:jc w:val="center"/>
        <w:rPr>
          <w:rFonts w:cs="Segoe UI"/>
          <w:b/>
          <w:sz w:val="30"/>
          <w:szCs w:val="30"/>
          <w:lang w:val="en-US"/>
        </w:rPr>
      </w:pPr>
      <w:r>
        <w:rPr>
          <w:rFonts w:cs="Segoe UI"/>
          <w:b/>
          <w:bCs/>
          <w:sz w:val="30"/>
          <w:szCs w:val="30"/>
          <w:lang w:val="id"/>
        </w:rPr>
        <w:t xml:space="preserve">Upaya Polri Menanggulangi Terorisme dan Kendala Yuridisnya Pasca Undang-Undang Nomor 5 Tahun 2018</w:t>
      </w:r>
    </w:p>
    <w:p w14:paraId="3A1EF515" w14:textId="6350003F" w:rsidR="00100027" w:rsidRPr="00100027" w:rsidRDefault="00100027" w:rsidP="007677D4">
      <w:pPr>
        <w:tabs>
          <w:tab w:val="right" w:pos="9026"/>
        </w:tabs>
        <w:spacing w:after="0" w:line="240" w:lineRule="auto"/>
        <w:jc w:val="left"/>
        <w:rPr>
          <w:rFonts w:cs="Segoe UI"/>
          <w:i/>
          <w:sz w:val="24"/>
          <w:szCs w:val="20"/>
          <w:lang w:val="en-US"/>
        </w:rPr>
      </w:pPr>
    </w:p>
    <w:p w14:paraId="469C6E82" w14:textId="183D7E7F" w:rsidR="00361A98" w:rsidRPr="00C676AF" w:rsidRDefault="00361A98" w:rsidP="00676A1B">
      <w:pPr>
        <w:tabs>
          <w:tab w:val="right" w:pos="9026"/>
        </w:tabs>
        <w:spacing w:after="0" w:line="240" w:lineRule="auto"/>
        <w:rPr>
          <w:rFonts w:cs="Segoe UI"/>
          <w:sz w:val="20"/>
          <w:szCs w:val="20"/>
        </w:rPr>
      </w:pPr>
    </w:p>
    <w:p w14:paraId="7A483E67" w14:textId="5C7B2371" w:rsidR="00AC334E" w:rsidRPr="00886EB8" w:rsidRDefault="001E0508" w:rsidP="00C00D09">
      <w:pPr>
        <w:tabs>
          <w:tab w:val="right" w:pos="9026"/>
        </w:tabs>
        <w:spacing w:after="0" w:line="240" w:lineRule="auto"/>
        <w:rPr>
          <w:rFonts w:cs="Segoe UI"/>
          <w:b/>
          <w:bCs/>
          <w:sz w:val="24"/>
          <w:szCs w:val="24"/>
          <w:lang w:val="fi-FI"/>
        </w:rPr>
      </w:pPr>
      <w:r>
        <w:rPr>
          <w:rFonts w:cs="Segoe UI"/>
          <w:b/>
          <w:bCs/>
          <w:sz w:val="24"/>
          <w:szCs w:val="24"/>
          <w:lang w:val="fi-FI"/>
        </w:rPr>
        <w:t xml:space="preserve">Ridwan</w:t>
      </w:r>
      <w:r>
        <w:rPr>
          <w:rFonts w:cs="Segoe UI"/>
          <w:b/>
          <w:bCs/>
          <w:sz w:val="24"/>
          <w:szCs w:val="24"/>
          <w:lang w:val="fi-FI"/>
          <w:vertAlign w:val="superscript"/>
        </w:rPr>
        <w:t>1</w:t>
      </w:r>
      <w:r>
        <w:rPr>
          <w:rFonts w:cs="Segoe UI"/>
          <w:b/>
          <w:bCs/>
          <w:sz w:val="24"/>
          <w:szCs w:val="24"/>
          <w:lang w:val="fi-FI"/>
        </w:rPr>
        <w:t>*</w:t>
      </w:r>
    </w:p>
    <w:p w14:paraId="408EDE2B" w14:textId="640F5D4D" w:rsidR="00AC334E" w:rsidRDefault="001E0508" w:rsidP="00241D17">
      <w:pPr>
        <w:tabs>
          <w:tab w:val="right" w:pos="9026"/>
        </w:tabs>
        <w:spacing w:after="0" w:line="240" w:lineRule="auto"/>
        <w:rPr>
          <w:rFonts w:cs="Segoe UI"/>
          <w:sz w:val="20"/>
          <w:szCs w:val="20"/>
          <w:lang w:val="fi-FI"/>
        </w:rPr>
      </w:pPr>
      <w:r>
        <w:rPr>
          <w:rFonts w:cs="Segoe UI"/>
          <w:sz w:val="20"/>
          <w:szCs w:val="20"/>
          <w:vertAlign w:val="superscript"/>
          <w:lang w:val="fi-FI"/>
        </w:rPr>
        <w:t>1</w:t>
      </w:r>
      <w:r>
        <w:rPr>
          <w:rFonts w:cs="Segoe UI"/>
          <w:sz w:val="20"/>
          <w:szCs w:val="20"/>
          <w:lang w:val="fi-FI"/>
        </w:rPr>
        <w:t xml:space="preserve"> Program Studi Magister Ilmu Hukum, Program Pascasarjana, Universitas Kristen Indonesia Paulus, Makassar, Indonesia</w:t>
      </w:r>
    </w:p>
    <w:p w14:paraId="03280406" w14:textId="36D2D9A5" w:rsidR="00BE12F5" w:rsidRPr="007677D4" w:rsidRDefault="006F20C0" w:rsidP="00241D17">
      <w:pPr>
        <w:tabs>
          <w:tab w:val="right" w:pos="9026"/>
        </w:tabs>
        <w:spacing w:after="0" w:line="240" w:lineRule="auto"/>
        <w:rPr>
          <w:rFonts w:cs="Segoe UI"/>
          <w:i/>
          <w:sz w:val="18"/>
          <w:szCs w:val="18"/>
          <w:lang w:val="en-US"/>
        </w:rPr>
      </w:pPr>
      <w:r>
        <w:rPr>
          <w:rFonts w:cs="Segoe UI"/>
          <w:i/>
          <w:sz w:val="18"/>
          <w:szCs w:val="18"/>
          <w:lang w:val="en-US"/>
        </w:rPr>
        <w:t xml:space="preserve">ridwan@ukipaulus.ac.id (Korespondensi)*</w:t>
      </w:r>
    </w:p>
    <w:p w14:paraId="2A959B97" w14:textId="77777777" w:rsidR="006F20C0" w:rsidRPr="00C676AF" w:rsidRDefault="006F20C0" w:rsidP="00241D17">
      <w:pPr>
        <w:tabs>
          <w:tab w:val="right" w:pos="9026"/>
        </w:tabs>
        <w:spacing w:after="0" w:line="240" w:lineRule="auto"/>
        <w:rPr>
          <w:rFonts w:cs="Segoe UI"/>
          <w:i/>
          <w:sz w:val="16"/>
          <w:szCs w:val="16"/>
          <w:lang w:val="en-US"/>
        </w:rPr>
      </w:pPr>
    </w:p>
    <w:tbl>
      <w:tblPr>
        <w:tblW w:w="5000" w:type="pct"/>
        <w:tblBorders>
          <w:top w:val="single" w:sz="4" w:space="0" w:color="auto"/>
          <w:bottom w:val="single" w:sz="4" w:space="0" w:color="auto"/>
        </w:tblBorders>
        <w:tblLook w:val="04A0" w:firstRow="1" w:lastRow="0" w:firstColumn="1" w:lastColumn="0" w:noHBand="0" w:noVBand="1"/>
      </w:tblPr>
      <w:tblGrid>
        <w:gridCol w:w="2114"/>
        <w:gridCol w:w="6912"/>
      </w:tblGrid>
      <w:tr w:rsidR="00241D17" w:rsidRPr="00C676AF" w14:paraId="0562E13F" w14:textId="77777777" w:rsidTr="00550BFE">
        <w:trPr>
          <w:trHeight w:val="189"/>
        </w:trPr>
        <w:tc>
          <w:tcPr>
            <w:tcW w:w="1171" w:type="pct"/>
            <w:tcBorders>
              <w:top w:val="single" w:sz="4" w:space="0" w:color="auto"/>
              <w:bottom w:val="single" w:sz="4" w:space="0" w:color="auto"/>
            </w:tcBorders>
          </w:tcPr>
          <w:p w14:paraId="312F1C6B" w14:textId="05A6C11E" w:rsidR="00241D17" w:rsidRPr="00C676AF" w:rsidRDefault="00241D17" w:rsidP="00550BFE">
            <w:pPr>
              <w:spacing w:after="0" w:line="240" w:lineRule="auto"/>
              <w:rPr>
                <w:rFonts w:eastAsia="Times New Roman" w:cs="Segoe UI"/>
                <w:b/>
                <w:color w:val="181717"/>
                <w:sz w:val="20"/>
                <w:szCs w:val="20"/>
              </w:rPr>
            </w:pPr>
          </w:p>
        </w:tc>
        <w:tc>
          <w:tcPr>
            <w:tcW w:w="3829" w:type="pct"/>
            <w:tcBorders>
              <w:top w:val="single" w:sz="4" w:space="0" w:color="auto"/>
              <w:bottom w:val="single" w:sz="4" w:space="0" w:color="auto"/>
            </w:tcBorders>
          </w:tcPr>
          <w:p w14:paraId="7761FE3A" w14:textId="77777777" w:rsidR="00241D17" w:rsidRPr="00C676AF" w:rsidRDefault="00241D17" w:rsidP="00550BFE">
            <w:pPr>
              <w:spacing w:after="0" w:line="240" w:lineRule="auto"/>
              <w:rPr>
                <w:rFonts w:eastAsia="Times New Roman" w:cs="Segoe UI"/>
                <w:b/>
                <w:color w:val="181717"/>
                <w:sz w:val="20"/>
                <w:szCs w:val="20"/>
              </w:rPr>
            </w:pPr>
          </w:p>
        </w:tc>
      </w:tr>
      <w:tr w:rsidR="00241D17" w:rsidRPr="00C676AF" w14:paraId="57D7D53D" w14:textId="77777777" w:rsidTr="00550BFE">
        <w:trPr>
          <w:trHeight w:val="1678"/>
        </w:trPr>
        <w:tc>
          <w:tcPr>
            <w:tcW w:w="1171" w:type="pct"/>
            <w:tcBorders>
              <w:top w:val="single" w:sz="4" w:space="0" w:color="auto"/>
              <w:bottom w:val="single" w:sz="4" w:space="0" w:color="auto"/>
            </w:tcBorders>
          </w:tcPr>
          <w:p w14:paraId="3D67F033" w14:textId="77777777" w:rsidR="00241D17" w:rsidRPr="00C676AF" w:rsidRDefault="00241D17" w:rsidP="00417363">
            <w:pPr>
              <w:spacing w:after="0" w:line="240" w:lineRule="auto"/>
              <w:rPr>
                <w:rFonts w:eastAsia="Times New Roman" w:cs="Segoe UI"/>
                <w:b/>
                <w:i/>
                <w:iCs/>
                <w:color w:val="181717"/>
                <w:sz w:val="20"/>
                <w:szCs w:val="20"/>
              </w:rPr>
            </w:pPr>
            <w:r>
              <w:rPr>
                <w:rFonts w:eastAsia="Times New Roman" w:cs="Segoe UI"/>
                <w:b/>
                <w:i/>
                <w:iCs/>
                <w:color w:val="181717"/>
                <w:sz w:val="20"/>
                <w:szCs w:val="20"/>
              </w:rPr>
              <w:t>Keyword:</w:t>
            </w:r>
          </w:p>
          <w:p w14:paraId="3BBA5661" w14:textId="6B1A32C2" w:rsidR="00417363" w:rsidRDefault="001E0508" w:rsidP="00886EB8">
            <w:pPr>
              <w:spacing w:after="0" w:line="240" w:lineRule="auto"/>
              <w:jc w:val="left"/>
              <w:rPr>
                <w:rFonts w:eastAsia="Times New Roman" w:cs="Segoe UI"/>
                <w:i/>
                <w:iCs/>
                <w:color w:val="181717"/>
                <w:sz w:val="20"/>
                <w:szCs w:val="20"/>
                <w:lang w:val="en-US"/>
              </w:rPr>
            </w:pPr>
            <w:r>
              <w:rPr>
                <w:rFonts w:eastAsia="Times New Roman" w:cs="Segoe UI"/>
                <w:i/>
                <w:iCs/>
                <w:color w:val="181717"/>
                <w:sz w:val="20"/>
                <w:szCs w:val="20"/>
                <w:lang w:val="en-US"/>
              </w:rPr>
              <w:t xml:space="preserve">counterterrorism, preventive measures, repressive measures, juridical obstacles, intelligence report, deradicalisation</w:t>
            </w:r>
          </w:p>
          <w:p w14:paraId="440C95CD" w14:textId="77777777" w:rsidR="001E0508" w:rsidRPr="00332E82" w:rsidRDefault="001E0508" w:rsidP="00417363">
            <w:pPr>
              <w:spacing w:after="0" w:line="240" w:lineRule="auto"/>
              <w:rPr>
                <w:rFonts w:eastAsia="Times New Roman" w:cs="Segoe UI"/>
                <w:b/>
                <w:iCs/>
                <w:color w:val="181717"/>
                <w:sz w:val="20"/>
                <w:szCs w:val="20"/>
                <w:lang w:val="en-US"/>
              </w:rPr>
            </w:pPr>
          </w:p>
          <w:p w14:paraId="495B6352" w14:textId="77777777" w:rsidR="00241D17" w:rsidRPr="00C676AF" w:rsidRDefault="00241D17" w:rsidP="00417363">
            <w:pPr>
              <w:spacing w:after="0" w:line="240" w:lineRule="auto"/>
              <w:rPr>
                <w:rFonts w:eastAsia="Times New Roman" w:cs="Segoe UI"/>
                <w:b/>
                <w:iCs/>
                <w:color w:val="181717"/>
                <w:sz w:val="20"/>
                <w:szCs w:val="20"/>
              </w:rPr>
            </w:pPr>
            <w:r>
              <w:rPr>
                <w:rFonts w:eastAsia="Times New Roman" w:cs="Segoe UI"/>
                <w:b/>
                <w:iCs/>
                <w:color w:val="181717"/>
                <w:sz w:val="20"/>
                <w:szCs w:val="20"/>
              </w:rPr>
              <w:t>Kata Kunci:</w:t>
            </w:r>
          </w:p>
          <w:p w14:paraId="33F6629F" w14:textId="300E20A2" w:rsidR="00241D17" w:rsidRPr="00C676AF" w:rsidRDefault="001E0508" w:rsidP="00886EB8">
            <w:pPr>
              <w:spacing w:after="0" w:line="240" w:lineRule="auto"/>
              <w:jc w:val="left"/>
              <w:rPr>
                <w:rFonts w:eastAsia="Times New Roman" w:cs="Segoe UI"/>
                <w:i/>
                <w:color w:val="181717"/>
                <w:sz w:val="20"/>
                <w:szCs w:val="20"/>
              </w:rPr>
            </w:pPr>
            <w:r>
              <w:rPr>
                <w:rFonts w:eastAsia="Times New Roman" w:cs="Segoe UI"/>
                <w:iCs/>
                <w:color w:val="181717"/>
                <w:sz w:val="20"/>
                <w:szCs w:val="20"/>
                <w:lang w:val="fi-FI"/>
              </w:rPr>
              <w:t xml:space="preserve">penanggulangan terorisme, upaya preventif, upaya represif, kendala yuridis, laporan intelijen, deradikalisasi</w:t>
            </w:r>
          </w:p>
        </w:tc>
        <w:tc>
          <w:tcPr>
            <w:tcW w:w="3829" w:type="pct"/>
            <w:tcBorders>
              <w:top w:val="single" w:sz="4" w:space="0" w:color="auto"/>
              <w:bottom w:val="single" w:sz="4" w:space="0" w:color="auto"/>
            </w:tcBorders>
          </w:tcPr>
          <w:p w14:paraId="55BC0D0E" w14:textId="48443D05" w:rsidR="00147D80" w:rsidRDefault="00241D17" w:rsidP="001E0508">
            <w:pPr>
              <w:spacing w:after="0" w:line="240" w:lineRule="auto"/>
              <w:rPr>
                <w:rStyle w:val="Strong"/>
                <w:rFonts w:cs="Segoe UI"/>
                <w:b w:val="0"/>
                <w:bCs w:val="0"/>
                <w:i/>
                <w:iCs/>
                <w:color w:val="000000"/>
                <w:sz w:val="20"/>
                <w:szCs w:val="20"/>
                <w:shd w:val="clear" w:color="auto" w:fill="FFFFFF"/>
              </w:rPr>
            </w:pPr>
            <w:r>
              <w:rPr>
                <w:rFonts w:eastAsia="Times New Roman" w:cs="Segoe UI"/>
                <w:b/>
                <w:i/>
                <w:iCs/>
                <w:sz w:val="20"/>
                <w:szCs w:val="20"/>
              </w:rPr>
              <w:t>Abstract:</w:t>
            </w:r>
            <w:r>
              <w:rPr>
                <w:rFonts w:cs="Segoe UI"/>
                <w:i/>
                <w:iCs/>
                <w:color w:val="000000"/>
                <w:sz w:val="20"/>
                <w:szCs w:val="20"/>
                <w:shd w:val="clear" w:color="auto" w:fill="FFFFFF"/>
              </w:rPr>
              <w:t xml:space="preserve"> Terrorism is an extraordinary crime that places the Indonesian National Police at the centre of national counterterrorism efforts. This study examines the preventive and repressive measures taken by the police and identifies the juridical obstacles that constrain them, then reassesses those obstacles against the legal regime in force today. The research is normative-empirical legal research using statutory and case approaches, drawing on primary and secondary legal materials analysed descriptively and qualitatively. The findings show that preventive measures rest on public education about bomb threats, mapping of radical organisations, and cross-sector mobilisation, while repressive measures cover investigation, inquiry, arrest, and detention. Four obstacles were identified: limited arrest and detention periods, the absence of criminal liability for precursor activities, the restricted evidentiary status of intelligence reports, and the voluntary character of deradicalisation. Reassessment shows that Law Number 5 of 2018 has normatively resolved three of the four through new offences and extended procedural periods, while the evidentiary limitation on intelligence reports persists. The study argues that the remaining obstacles are now implementational rather than normative, and require harmonisation with the criminal procedure code effective from January 2026.</w:t>
            </w:r>
          </w:p>
          <w:p w14:paraId="38071BBE" w14:textId="77777777" w:rsidR="001E0508" w:rsidRPr="00C676AF" w:rsidRDefault="001E0508" w:rsidP="001E0508">
            <w:pPr>
              <w:spacing w:after="0" w:line="240" w:lineRule="auto"/>
              <w:rPr>
                <w:rFonts w:eastAsia="Times New Roman" w:cs="Segoe UI"/>
                <w:sz w:val="20"/>
                <w:szCs w:val="20"/>
              </w:rPr>
            </w:pPr>
          </w:p>
          <w:p w14:paraId="3968C054" w14:textId="77777777" w:rsidR="00886EB8" w:rsidRDefault="00886EB8" w:rsidP="001E0508">
            <w:pPr>
              <w:spacing w:after="0" w:line="240" w:lineRule="auto"/>
              <w:rPr>
                <w:rFonts w:eastAsia="Times New Roman" w:cs="Segoe UI"/>
                <w:b/>
                <w:iCs/>
                <w:sz w:val="20"/>
                <w:szCs w:val="20"/>
              </w:rPr>
            </w:pPr>
          </w:p>
          <w:p w14:paraId="5CE97357" w14:textId="16546BC6" w:rsidR="00147D80" w:rsidRDefault="00241D17" w:rsidP="001E0508">
            <w:pPr>
              <w:spacing w:after="0" w:line="240" w:lineRule="auto"/>
              <w:rPr>
                <w:rStyle w:val="Strong"/>
                <w:rFonts w:cs="Segoe UI"/>
                <w:b w:val="0"/>
                <w:bCs w:val="0"/>
                <w:color w:val="000000"/>
                <w:sz w:val="21"/>
                <w:szCs w:val="21"/>
                <w:shd w:val="clear" w:color="auto" w:fill="FFFFFF"/>
              </w:rPr>
            </w:pPr>
            <w:r>
              <w:rPr>
                <w:rFonts w:eastAsia="Times New Roman" w:cs="Segoe UI"/>
                <w:b/>
                <w:iCs/>
                <w:sz w:val="20"/>
                <w:szCs w:val="20"/>
              </w:rPr>
              <w:t>Abstrak:</w:t>
            </w:r>
            <w:r>
              <w:rPr>
                <w:rFonts w:cs="Segoe UI"/>
                <w:color w:val="000000"/>
                <w:sz w:val="20"/>
                <w:szCs w:val="20"/>
                <w:shd w:val="clear" w:color="auto" w:fill="FFFFFF"/>
              </w:rPr>
              <w:t xml:space="preserve"> Terorisme merupakan kejahatan luar biasa yang menempatkan Kepolisian Negara Republik Indonesia sebagai aktor utama penanggulangan. Penelitian ini mengkaji upaya preventif dan represif yang ditempuh kepolisian serta mengidentifikasi kendala yuridis yang membatasinya, kemudian menilai kembali kendala tersebut terhadap rezim hukum yang berlaku saat ini. Penelitian ini merupakan penelitian hukum normatif-empiris dengan pendekatan peraturan perundang-undangan dan pendekatan kasus, menggunakan bahan hukum primer dan sekunder yang dianalisis secara deskriptif kualitatif. Hasil penelitian menunjukkan upaya preventif bertumpu pada sosialisasi bahaya dan ancaman bom, pendataan organisasi radikal, serta penggalangan lintas sektor, sedangkan upaya represif meliputi penyelidikan, penyidikan, penangkapan, dan penahanan. Ditemukan empat kendala, yaitu keterbatasan masa penangkapan dan penahanan, belum dipidananya kegiatan pendahuluan, terbatasnya kedudukan laporan intelijen sebagai alat bukti, dan sifat sukarela deradikalisasi. Penilaian ulang memperlihatkan bahwa Undang-Undang Nomor 5 Tahun 2018 telah menjawab tiga dari empat kendala tersebut melalui kriminalisasi baru dan perpanjangan masa acara, sementara pembatasan kedudukan laporan intelijen tetap bertahan. Penelitian ini berargumentasi bahwa kendala yang tersisa kini bersifat implementatif dan menuntut harmonisasi dengan hukum acara pidana yang berlaku sejak Januari 2026.</w:t>
            </w:r>
          </w:p>
          <w:p w14:paraId="414A3B75" w14:textId="2EDC7993" w:rsidR="001E0508" w:rsidRPr="00332E82" w:rsidRDefault="001E0508" w:rsidP="001E0508">
            <w:pPr>
              <w:spacing w:after="0" w:line="240" w:lineRule="auto"/>
              <w:rPr>
                <w:rFonts w:eastAsia="Times New Roman" w:cs="Segoe UI"/>
                <w:iCs/>
                <w:sz w:val="20"/>
                <w:szCs w:val="20"/>
                <w:lang w:val="en-ID"/>
              </w:rPr>
            </w:pPr>
          </w:p>
        </w:tc>
      </w:tr>
      <w:tr w:rsidR="00241D17" w:rsidRPr="00C676AF" w14:paraId="72CB6547" w14:textId="77777777" w:rsidTr="00550BFE">
        <w:trPr>
          <w:trHeight w:val="161"/>
        </w:trPr>
        <w:tc>
          <w:tcPr>
            <w:tcW w:w="5000" w:type="pct"/>
            <w:gridSpan w:val="2"/>
            <w:tcBorders>
              <w:top w:val="single" w:sz="4" w:space="0" w:color="auto"/>
              <w:bottom w:val="single" w:sz="4" w:space="0" w:color="auto"/>
            </w:tcBorders>
          </w:tcPr>
          <w:p w14:paraId="0E1C67EB" w14:textId="6C572104" w:rsidR="00550BFE" w:rsidRPr="006F20C0" w:rsidRDefault="00241D17" w:rsidP="00732CD5">
            <w:pPr>
              <w:spacing w:after="0" w:line="240" w:lineRule="auto"/>
              <w:rPr>
                <w:rFonts w:cs="Segoe UI"/>
                <w:sz w:val="20"/>
                <w:szCs w:val="20"/>
              </w:rPr>
            </w:pPr>
            <w:r>
              <w:rPr>
                <w:rFonts w:cs="Segoe UI"/>
                <w:b/>
                <w:sz w:val="20"/>
                <w:szCs w:val="20"/>
              </w:rPr>
              <w:t>Informasi Artikel</w:t>
            </w:r>
            <w:r>
              <w:rPr>
                <w:rFonts w:cs="Segoe UI"/>
                <w:sz w:val="20"/>
                <w:szCs w:val="20"/>
              </w:rPr>
              <w:t xml:space="preserve">:  Diterima: ……………, Disetujui: ……………, Dipublikasikan: …………… (diisi oleh panitia)</w:t>
            </w:r>
          </w:p>
        </w:tc>
      </w:tr>
    </w:tbl>
    <w:p w14:paraId="505D0FCD" w14:textId="7878117F" w:rsidR="005D710E" w:rsidRPr="001E0508" w:rsidRDefault="005D710E" w:rsidP="005B7859">
      <w:pPr>
        <w:spacing w:after="0" w:line="360" w:lineRule="auto"/>
        <w:ind w:right="-29"/>
        <w:rPr>
          <w:rFonts w:cs="Segoe UI"/>
          <w:b/>
          <w:sz w:val="24"/>
          <w:szCs w:val="24"/>
        </w:rPr>
        <w:sectPr w:rsidR="005D710E" w:rsidRPr="001E0508" w:rsidSect="00E109A4">
          <w:headerReference w:type="default" r:id="rId12"/>
          <w:footerReference w:type="default" r:id="rId13"/>
          <w:headerReference w:type="first" r:id="rId14"/>
          <w:type w:val="continuous"/>
          <w:pgSz w:w="11906" w:h="16838" w:code="9"/>
          <w:pgMar w:top="1440" w:right="1440" w:bottom="1440" w:left="1440" w:header="709" w:footer="709" w:gutter="0"/>
          <w:cols w:space="708"/>
          <w:titlePg/>
          <w:docGrid w:linePitch="360"/>
        </w:sectPr>
      </w:pPr>
    </w:p>
    <w:p w14:paraId="3EFD5847" w14:textId="02FC486E" w:rsidR="001E0508" w:rsidRPr="001E0508" w:rsidRDefault="00E02EE7" w:rsidP="00E02EE7">
      <w:pPr>
        <w:pStyle w:val="Heading3"/>
        <w:ind w:firstLine="66"/>
      </w:pPr>
      <w:r>
        <w:t>PENDAHULUAN</w:t>
      </w:r>
    </w:p>
    <w:p>
      <w:pPr>
        <w:pStyle w:val="IEEEParagraph"/>
        <w:ind w:left="567" w:right="322" w:firstLine="567"/>
        <w:rPr>
          <w:rFonts w:ascii="Segoe UI" w:hAnsi="Segoe UI" w:cs="Segoe UI"/>
          <w:sz w:val="22"/>
          <w:szCs w:val="22"/>
        </w:rPr>
      </w:pPr>
      <w:r>
        <w:rPr>
          <w:rFonts w:ascii="Segoe UI" w:hAnsi="Segoe UI" w:cs="Segoe UI"/>
          <w:sz w:val="22"/>
          <w:szCs w:val="22"/>
        </w:rPr>
        <w:t xml:space="preserve">Terorisme menempati posisi khusus dalam hukum pidana Indonesia karena digolongkan sebagai kejahatan luar biasa (</w:t>
      </w:r>
      <w:r>
        <w:rPr>
          <w:rFonts w:ascii="Segoe UI" w:hAnsi="Segoe UI" w:cs="Segoe UI"/>
          <w:sz w:val="22"/>
          <w:szCs w:val="22"/>
          <w:i/>
          <w:iCs/>
        </w:rPr>
        <w:t xml:space="preserve">extraordinary crime</w:t>
      </w:r>
      <w:r>
        <w:rPr>
          <w:rFonts w:ascii="Segoe UI" w:hAnsi="Segoe UI" w:cs="Segoe UI"/>
          <w:sz w:val="22"/>
          <w:szCs w:val="22"/>
        </w:rPr>
        <w:t xml:space="preserve">) yang menuntut penanganan luar biasa pula (</w:t>
      </w:r>
      <w:r>
        <w:rPr>
          <w:rFonts w:ascii="Segoe UI" w:hAnsi="Segoe UI" w:cs="Segoe UI"/>
          <w:sz w:val="22"/>
          <w:szCs w:val="22"/>
          <w:i/>
          <w:iCs/>
        </w:rPr>
        <w:t xml:space="preserve">extraordinary measures</w:t>
      </w:r>
      <w:r>
        <w:rPr>
          <w:rFonts w:ascii="Segoe UI" w:hAnsi="Segoe UI" w:cs="Segoe UI"/>
          <w:sz w:val="22"/>
          <w:szCs w:val="22"/>
        </w:rPr>
        <w:t xml:space="preserve">). Sifat luar biasa itu tidak semata-mata terletak pada besarnya korban, melainkan pada karakter jaringannya yang lintas negara, modus operandinya yang berubah-ubah, dan pemanfaatan teknologi mutakhir. Karena itu, terorisme tidak dapat ditangani secara sendiri-sendiri oleh satu lembaga atau satu negara, dan penanggulangannya menuntut kerja yang maksimal, terpadu, intensif, serta komprehensif (Wahid dkk., 2014).</w:t>
      </w:r>
    </w:p>
    <w:p>
      <w:pPr>
        <w:pStyle w:val="IEEEParagraph"/>
        <w:ind w:left="567" w:right="322" w:firstLine="567"/>
        <w:rPr>
          <w:rFonts w:ascii="Segoe UI" w:hAnsi="Segoe UI" w:cs="Segoe UI"/>
          <w:sz w:val="22"/>
          <w:szCs w:val="22"/>
        </w:rPr>
      </w:pPr>
      <w:r>
        <w:rPr>
          <w:rFonts w:ascii="Segoe UI" w:hAnsi="Segoe UI" w:cs="Segoe UI"/>
          <w:sz w:val="22"/>
          <w:szCs w:val="22"/>
        </w:rPr>
        <w:t xml:space="preserve">Dalam kerangka kelembagaan Indonesia, Kepolisian Negara Republik Indonesia menempati posisi sentral. Undang-Undang Nomor 2 Tahun 2002 menempatkan Polri sebagai alat negara pemelihara keamanan dan ketertiban masyarakat, penegak hukum, sekaligus pemberi perlindungan, pengayoman, dan pelayanan kepada masyarakat. Peran itu dipertegas pada tataran teknis melalui Peraturan Kepala Kepolisian Nomor 13 Tahun 2017 yang mewajibkan Polri memberikan bantuan pengamanan terhadap objek vital nasional, yakni kawasan, bangunan, instalasi, atau usaha yang menyangkut hajat hidup orang banyak dan kepentingan negara sebagaimana dimaksud Keputusan Presiden Nomor 63 Tahun 2004. Objek vital justru menjadi sasaran yang lazim dipilih pelaku teror karena gangguan terhadapnya berdampak luas pada kehidupan masyarakat dan roda pemerintahan.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Persoalannya, aparat kepolisian tidak hanya berperan sebagai pelindung objek vital, tetapi juga menjadi sasaran serangan. Rangkaian peristiwa sepanjang 2016 hingga 2017, mulai dari serangan bom bunuh diri di Markas Kepolisian Resor Kota Solo, penyerangan terhadap anggota kepolisian di Tangerang oleh pengikut ISIS, hingga penyerangan anggota Brigade Mobil di Masjid Falatehan dekat Markas Besar Polri, memperlihatkan bahwa simbol penegak hukum dijadikan target untuk menunjukkan eksistensi pelaku. Pola serangan juga bergeser, tidak lagi bertumpu pada bom rakitan semata, melainkan meluas pada senjata tajam dan aksi pelaku tunggal yang memperoleh doktrin serta pengetahuan merakit bom secara otodidak dari media sosial. Meski sporadis dan berskala kecil, serangan demikian tetap mencemaskan (Abimanyu, 2015), sebab tujuannya bukan mengalahkan aparat melainkan memperjuangkan ideologi sekaligus menunjukkan eksistensi pelaku (Parthiana, 2013).</w:t>
      </w:r>
    </w:p>
    <w:p>
      <w:pPr>
        <w:pStyle w:val="IEEEParagraph"/>
        <w:ind w:left="567" w:right="322" w:firstLine="567"/>
        <w:rPr>
          <w:rFonts w:ascii="Segoe UI" w:hAnsi="Segoe UI" w:cs="Segoe UI"/>
          <w:sz w:val="22"/>
          <w:szCs w:val="22"/>
        </w:rPr>
      </w:pPr>
      <w:r>
        <w:rPr>
          <w:rFonts w:ascii="Segoe UI" w:hAnsi="Segoe UI" w:cs="Segoe UI"/>
          <w:sz w:val="22"/>
          <w:szCs w:val="22"/>
        </w:rPr>
        <w:t xml:space="preserve">Ancaman pidana terhadap terorisme sesungguhnya tergolong berat. Pasal 6 Undang-Undang Nomor 15 Tahun 2003 sebagaimana diubah dengan Undang-Undang Nomor 5 Tahun 2018 mengancam pelaku dengan pidana penjara paling singkat lima tahun dan paling lama dua puluh tahun, pidana penjara seumur hidup, atau pidana mati. Namun beratnya ancaman pidana tidak dengan sendirinya menghentikan aksi terorisme. Di sinilah muncul masalah hukum yang menjadi fokus penelitian: efektivitas penanggulangan terorisme tidak ditentukan oleh berat-ringannya ancaman pidana semata, melainkan oleh ketersediaan instrumen hukum yang memungkinkan aparat bekerja sebelum aksi teror terjadi.</w:t>
      </w:r>
    </w:p>
    <w:p>
      <w:pPr>
        <w:pStyle w:val="IEEEParagraph"/>
        <w:ind w:left="567" w:right="322" w:firstLine="567"/>
        <w:rPr>
          <w:rFonts w:ascii="Segoe UI" w:hAnsi="Segoe UI" w:cs="Segoe UI"/>
          <w:sz w:val="22"/>
          <w:szCs w:val="22"/>
        </w:rPr>
      </w:pPr>
      <w:r>
        <w:rPr>
          <w:rFonts w:ascii="Segoe UI" w:hAnsi="Segoe UI" w:cs="Segoe UI"/>
          <w:sz w:val="22"/>
          <w:szCs w:val="22"/>
        </w:rPr>
        <w:t xml:space="preserve">Persoalan tersebut bersifat berlapis. Pada lapis pertama terdapat pertanyaan mengenai bentuk upaya yang secara faktual ditempuh kepolisian, baik yang bersifat mencegah maupun menindak. Pada lapis kedua terdapat pertanyaan mengenai hambatan yang menyertai upaya tersebut, khususnya hambatan yang bersumber pada rumusan norma dan bukan pada keterbatasan sumber daya. Pembedaan kedua lapis itu penting karena keduanya menuntut jalan keluar yang berbeda: hambatan normatif menuntut perubahan undang-undang, sedangkan hambatan implementatif menuntut penguatan kapasitas dan koordinasi.</w:t>
      </w:r>
    </w:p>
    <w:p>
      <w:pPr>
        <w:pStyle w:val="IEEEParagraph"/>
        <w:ind w:left="567" w:right="322" w:firstLine="567"/>
        <w:rPr>
          <w:rFonts w:ascii="Segoe UI" w:hAnsi="Segoe UI" w:cs="Segoe UI"/>
          <w:sz w:val="22"/>
          <w:szCs w:val="22"/>
        </w:rPr>
      </w:pPr>
      <w:r>
        <w:rPr>
          <w:rFonts w:ascii="Segoe UI" w:hAnsi="Segoe UI" w:cs="Segoe UI"/>
          <w:sz w:val="22"/>
          <w:szCs w:val="22"/>
        </w:rPr>
        <w:t xml:space="preserve">Kajian mengenai penanggulangan terorisme di Indonesia telah berkembang cukup lama. Ali (2012) menelaah konstruksi teori dan praktik hukum pidana terorisme, Hardiman (2013) mempersoalkan definisi, aksi, dan regulasi terorisme, sedangkan Golose (2009) menawarkan model deradikalisasi yang bertumpu pada pendekatan humanis, </w:t>
      </w:r>
      <w:r>
        <w:rPr>
          <w:rFonts w:ascii="Segoe UI" w:hAnsi="Segoe UI" w:cs="Segoe UI"/>
          <w:sz w:val="22"/>
          <w:szCs w:val="22"/>
          <w:i/>
          <w:iCs/>
        </w:rPr>
        <w:t xml:space="preserve">soul approach</w:t>
      </w:r>
      <w:r>
        <w:rPr>
          <w:rFonts w:ascii="Segoe UI" w:hAnsi="Segoe UI" w:cs="Segoe UI"/>
          <w:sz w:val="22"/>
          <w:szCs w:val="22"/>
        </w:rPr>
        <w:t xml:space="preserve">, dan menyentuh akar rumput. Kajian-kajian tersebut sangat berjasa membentuk kerangka berpikir penanggulangan terorisme, tetapi seluruhnya ditulis pada masa berlakunya Undang-Undang Nomor 15 Tahun 2003 dalam rumusan aslinya.</w:t>
      </w:r>
    </w:p>
    <w:p>
      <w:pPr>
        <w:pStyle w:val="IEEEParagraph"/>
        <w:ind w:left="567" w:right="322" w:firstLine="567"/>
        <w:rPr>
          <w:rFonts w:ascii="Segoe UI" w:hAnsi="Segoe UI" w:cs="Segoe UI"/>
          <w:sz w:val="22"/>
          <w:szCs w:val="22"/>
        </w:rPr>
      </w:pPr>
      <w:r>
        <w:rPr>
          <w:rFonts w:ascii="Segoe UI" w:hAnsi="Segoe UI" w:cs="Segoe UI"/>
          <w:sz w:val="22"/>
          <w:szCs w:val="22"/>
        </w:rPr>
        <w:t xml:space="preserve">Berbeda dengan penelitian sebelumnya yang berhenti pada identifikasi kelemahan Undang-Undang Nomor 15 Tahun 2003, penelitian ini menempatkan kendala-kendala tersebut sebagai objek yang harus diuji ulang terhadap hukum yang berlaku sekarang. Sejak Undang-Undang Nomor 5 Tahun 2018 diberlakukan, terdapat kriminalisasi baru terhadap keanggotaan organisasi teroris, perekrutan, dan pelatihan militer, serta perpanjangan masa penangkapan dan penahanan (Sekretariat Negara Republik Indonesia, 2018). Sejak 2 Januari 2026 berlaku pula Undang-Undang Nomor 20 Tahun 2025 tentang Kitab Undang-Undang Hukum Acara Pidana yang mencabut Undang-Undang Nomor 8 Tahun 1981. Perubahan berlapis tersebut belum dijangkau oleh kajian terdahulu, padahal justru perubahan itu yang menentukan apakah kendala yang dahulu diidentifikasi masih relevan.</w:t>
      </w:r>
    </w:p>
    <w:p>
      <w:pPr>
        <w:pStyle w:val="IEEEParagraph"/>
        <w:ind w:left="567" w:right="322" w:firstLine="567"/>
        <w:rPr>
          <w:rFonts w:ascii="Segoe UI" w:hAnsi="Segoe UI" w:cs="Segoe UI"/>
          <w:sz w:val="22"/>
          <w:szCs w:val="22"/>
        </w:rPr>
      </w:pPr>
      <w:r>
        <w:rPr>
          <w:rFonts w:ascii="Segoe UI" w:hAnsi="Segoe UI" w:cs="Segoe UI"/>
          <w:sz w:val="22"/>
          <w:szCs w:val="22"/>
        </w:rPr>
        <w:t xml:space="preserve">Relevansi pengujian ulang tersebut diperkuat oleh data capaian. Kepolisian Negara Republik Indonesia melaporkan bahwa Indonesia mempertahankan status nihil serangan teroris selama tiga tahun berturut- turut pada periode 2023 sampai 2025, dengan jumlah tersangka yang ditangkap Detasemen Khusus 88 menurun dari 147 orang pada 2023 menjadi 55 orang pada 2024 dan 51 orang pada 2025 (Polri, 2025). Angka tersebut menuntut penjelasan yuridis: apakah perbaikan capaian itu berkorelasi dengan penguatan instrumen hukum, dan kendala apa yang masih tersisa.</w:t>
      </w:r>
    </w:p>
    <w:p>
      <w:pPr>
        <w:pStyle w:val="IEEEParagraph"/>
        <w:ind w:left="567" w:right="322" w:firstLine="567"/>
        <w:rPr>
          <w:rFonts w:ascii="Segoe UI" w:hAnsi="Segoe UI" w:cs="Segoe UI"/>
          <w:sz w:val="22"/>
          <w:szCs w:val="22"/>
        </w:rPr>
      </w:pPr>
      <w:r>
        <w:rPr>
          <w:rFonts w:ascii="Segoe UI" w:hAnsi="Segoe UI" w:cs="Segoe UI"/>
          <w:sz w:val="22"/>
          <w:szCs w:val="22"/>
        </w:rPr>
        <w:t xml:space="preserve">Tujuan penelitian ini adalah, pertama, menganalisis upaya penanggulangan tindak pidana terorisme yang ditempuh Kepolisian Negara Republik Indonesia; kedua, menganalisis kendala-kendala dalam penanggulangan tindak pidana terorisme beserta status kendala tersebut dalam rezim hukum yang berlaku. Secara teoretis, penelitian ini berkontribusi pada kajian kebijakan hukum pidana dengan memperlihatkan pergeseran dari model penanggulangan yang reaktif menuju model yang antisipatif. Secara praktis, hasil penelitian ini dapat menjadi rujukan bagi penyidik dan pengambil kebijakan dalam menata prioritas pembenahan, yakni membedakan kendala yang sudah terjawab oleh norma dari kendala yang masih menuntut perubahan hukum.</w:t>
      </w:r>
    </w:p>
    <w:p w14:paraId="1382B788" w14:textId="468BF956" w:rsidR="001E0508" w:rsidRPr="001C62FB" w:rsidRDefault="001C62FB" w:rsidP="00955050">
      <w:pPr>
        <w:pStyle w:val="Heading3"/>
        <w:ind w:left="1134" w:right="322" w:hanging="425"/>
      </w:pPr>
      <w:r>
        <w:t xml:space="preserve">METODOLOGI PENELITIAN </w:t>
      </w:r>
    </w:p>
    <w:p>
      <w:pPr>
        <w:pStyle w:val="IEEEParagraph"/>
        <w:ind w:left="567" w:right="322" w:firstLine="567"/>
        <w:rPr>
          <w:rFonts w:ascii="Segoe UI" w:hAnsi="Segoe UI" w:cs="Segoe UI"/>
          <w:sz w:val="22"/>
          <w:szCs w:val="22"/>
        </w:rPr>
      </w:pPr>
      <w:r>
        <w:rPr>
          <w:rFonts w:ascii="Segoe UI" w:hAnsi="Segoe UI" w:cs="Segoe UI"/>
          <w:sz w:val="22"/>
          <w:szCs w:val="22"/>
        </w:rPr>
        <w:t xml:space="preserve">Bagian ini menguraikan cara penelitian dilakukan agar temuan yang disajikan dapat ditelusuri dan diuji kembali. Uraian mencakup jenis dan pendekatan penelitian, jenis dan sumber data, teknik pengumpulan data, teknik analisis, serta batasan penelitian.</w:t>
      </w:r>
    </w:p>
    <w:p>
      <w:pPr>
        <w:pStyle w:val="IEEEParagraph"/>
        <w:ind w:left="567" w:right="322"/>
      </w:pPr>
    </w:p>
    <w:p>
      <w:pPr>
        <w:pStyle w:val="Heading2"/>
        <w:ind w:right="322"/>
        <w:rPr>
          <w:rStyle w:val="mediumtext"/>
        </w:rPr>
      </w:pPr>
      <w:r>
        <w:rPr>
          <w:rStyle w:val="mediumtext"/>
        </w:rPr>
        <w:t xml:space="preserve">2.1 Jenis dan Pendekatan Penelitian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ini merupakan penelitian hukum normatif-empiris. Dimensi normatif digunakan karena objek utama kajian adalah norma hukum penanggulangan terorisme beserta kelemahan-kelemahannya, sedangkan dimensi empiris digunakan untuk menempatkan norma tersebut dalam konteks praktik penegakan hukum yang dijalankan kepolisian.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Pendekatan yang digunakan adalah pendekatan peraturan perundang-undangan (</w:t>
      </w:r>
      <w:r>
        <w:rPr>
          <w:rFonts w:ascii="Segoe UI" w:hAnsi="Segoe UI" w:cs="Segoe UI"/>
          <w:sz w:val="22"/>
          <w:szCs w:val="22"/>
          <w:i/>
          <w:iCs/>
        </w:rPr>
        <w:t xml:space="preserve">statute approach</w:t>
      </w:r>
      <w:r>
        <w:rPr>
          <w:rFonts w:ascii="Segoe UI" w:hAnsi="Segoe UI" w:cs="Segoe UI"/>
          <w:sz w:val="22"/>
          <w:szCs w:val="22"/>
        </w:rPr>
        <w:t xml:space="preserve">) dan pendekatan kasus (</w:t>
      </w:r>
      <w:r>
        <w:rPr>
          <w:rFonts w:ascii="Segoe UI" w:hAnsi="Segoe UI" w:cs="Segoe UI"/>
          <w:sz w:val="22"/>
          <w:szCs w:val="22"/>
          <w:i/>
          <w:iCs/>
        </w:rPr>
        <w:t xml:space="preserve">case approach</w:t>
      </w:r>
      <w:r>
        <w:rPr>
          <w:rFonts w:ascii="Segoe UI" w:hAnsi="Segoe UI" w:cs="Segoe UI"/>
          <w:sz w:val="22"/>
          <w:szCs w:val="22"/>
        </w:rPr>
        <w:t xml:space="preserve">). Pendekatan perundang-undangan dipakai untuk menelaah rumusan delik, kewenangan acara, dan kelembagaan penanggulangan terorisme, termasuk menguji konsistensi antarnorma sesudah terjadinya perubahan undang-undang. Pendekatan kasus dipakai untuk membaca pola perbuatan dalam peristiwa terorisme yang telah terjadi, sehingga penilaian atas kecukupan norma tidak dilakukan secara abstrak melainkan diuji terhadap modus yang nyata.</w:t>
      </w:r>
    </w:p>
    <w:p>
      <w:pPr>
        <w:pStyle w:val="IEEEParagraph"/>
        <w:ind w:left="567" w:right="322" w:firstLine="567"/>
        <w:rPr>
          <w:rFonts w:ascii="Segoe UI" w:hAnsi="Segoe UI" w:cs="Segoe UI"/>
          <w:sz w:val="22"/>
          <w:szCs w:val="22"/>
        </w:rPr>
      </w:pPr>
      <w:r>
        <w:rPr>
          <w:rFonts w:ascii="Segoe UI" w:hAnsi="Segoe UI" w:cs="Segoe UI"/>
          <w:sz w:val="22"/>
          <w:szCs w:val="22"/>
        </w:rPr>
        <w:t xml:space="preserve">Kedua pendekatan tersebut bekerja secara bertingkat. Pendekatan kasus dipakai lebih dahulu untuk memetakan bentuk perbuatan yang perlu dijangkau hukum, kemudian pendekatan perundang-undangan dipakai untuk menilai apakah norma yang tersedia mampu menjangkaunya. Alur ini penting karena permasalahan penelitian tidak berhenti pada pertanyaan apa saja upaya yang dilakukan kepolisian, melainkan berlanjut pada pertanyaan mengapa upaya tersebut terhambat dan apakah hambatannya bersumber pada norma atau pada pelaksanaan.</w:t>
      </w:r>
    </w:p>
    <w:p>
      <w:pPr>
        <w:pStyle w:val="IEEEParagraph"/>
        <w:ind w:left="567" w:right="322"/>
      </w:pPr>
    </w:p>
    <w:p>
      <w:pPr>
        <w:pStyle w:val="Heading2"/>
        <w:ind w:right="322"/>
        <w:rPr>
          <w:rStyle w:val="mediumtext"/>
        </w:rPr>
      </w:pPr>
      <w:r>
        <w:rPr>
          <w:rStyle w:val="mediumtext"/>
        </w:rPr>
        <w:t xml:space="preserve">2.2 Jenis dan Sumber Data</w:t>
      </w:r>
    </w:p>
    <w:p>
      <w:pPr>
        <w:pStyle w:val="IEEEParagraph"/>
        <w:ind w:left="567" w:right="322" w:firstLine="567"/>
        <w:rPr>
          <w:rFonts w:ascii="Segoe UI" w:hAnsi="Segoe UI" w:cs="Segoe UI"/>
          <w:sz w:val="22"/>
          <w:szCs w:val="22"/>
        </w:rPr>
      </w:pPr>
      <w:r>
        <w:rPr>
          <w:rFonts w:ascii="Segoe UI" w:hAnsi="Segoe UI" w:cs="Segoe UI"/>
          <w:sz w:val="22"/>
          <w:szCs w:val="22"/>
        </w:rPr>
        <w:t xml:space="preserve">Data primer diperoleh melalui wawancara dengan pihak instansi terkait penanggulangan tindak pidana terorisme, sedangkan data sekunder diperoleh melalui kearsipan dan dokumen, meliputi buku, literatur, majalah, surat kabar, serta peraturan perundang-undangan yang berhubungan dengan masalah yang diteliti.</w:t>
      </w:r>
    </w:p>
    <w:p>
      <w:pPr>
        <w:pStyle w:val="IEEEParagraph"/>
        <w:ind w:left="567" w:right="322" w:firstLine="567"/>
        <w:rPr>
          <w:rFonts w:ascii="Segoe UI" w:hAnsi="Segoe UI" w:cs="Segoe UI"/>
          <w:sz w:val="22"/>
          <w:szCs w:val="22"/>
        </w:rPr>
      </w:pPr>
      <w:r>
        <w:rPr>
          <w:rFonts w:ascii="Segoe UI" w:hAnsi="Segoe UI" w:cs="Segoe UI"/>
          <w:sz w:val="22"/>
          <w:szCs w:val="22"/>
        </w:rPr>
        <w:t xml:space="preserve">Bahan hukum primer yang digunakan meliputi Undang-Undang Dasar Negara Republik Indonesia Tahun 1945, Undang-Undang Nomor 8 Tahun 1981 tentang Hukum Acara Pidana, Undang-Undang Nomor 2 Tahun 2002 tentang Kepolisian Negara Republik Indonesia, Undang-Undang Nomor 15 Tahun 2003 tentang Pemberantasan Tindak Pidana Terorisme, Undang-Undang Nomor 5 Tahun 2018, Undang-Undang Nomor 1 Tahun 2023 tentang Kitab Undang-Undang Hukum Pidana, Undang-Undang Nomor 20 Tahun 2025 tentang Kitab Undang-Undang Hukum Acara Pidana, Undang-Undang Nomor 1 Tahun 2026 tentang Penyesuaian Pidana, Keputusan Presiden Nomor 63 Tahun 2004, dan Peraturan Kepala Kepolisian Nomor 13 Tahun 2017. Data capaian penindakan bersumber pada publikasi resmi kepolisian dan Badan Nasional Penanggulangan Terorisme, bukan pada perkiraan penulis.</w:t>
      </w:r>
    </w:p>
    <w:p>
      <w:pPr>
        <w:pStyle w:val="IEEEParagraph"/>
        <w:ind w:left="567" w:right="322"/>
      </w:pPr>
    </w:p>
    <w:p>
      <w:pPr>
        <w:pStyle w:val="Heading2"/>
        <w:ind w:right="322"/>
        <w:rPr>
          <w:rStyle w:val="mediumtext"/>
        </w:rPr>
      </w:pPr>
      <w:r>
        <w:rPr>
          <w:rStyle w:val="mediumtext"/>
        </w:rPr>
        <w:t xml:space="preserve">2.3 Teknik Pengumpulan Data</w:t>
      </w:r>
    </w:p>
    <w:p>
      <w:pPr>
        <w:pStyle w:val="IEEEParagraph"/>
        <w:ind w:left="567" w:right="322" w:firstLine="567"/>
        <w:rPr>
          <w:rFonts w:ascii="Segoe UI" w:hAnsi="Segoe UI" w:cs="Segoe UI"/>
          <w:sz w:val="22"/>
          <w:szCs w:val="22"/>
        </w:rPr>
      </w:pPr>
      <w:r>
        <w:rPr>
          <w:rFonts w:ascii="Segoe UI" w:hAnsi="Segoe UI" w:cs="Segoe UI"/>
          <w:sz w:val="22"/>
          <w:szCs w:val="22"/>
        </w:rPr>
        <w:t xml:space="preserve">Pengumpulan data dilakukan melalui penelitian kepustakaan (</w:t>
      </w:r>
      <w:r>
        <w:rPr>
          <w:rFonts w:ascii="Segoe UI" w:hAnsi="Segoe UI" w:cs="Segoe UI"/>
          <w:sz w:val="22"/>
          <w:szCs w:val="22"/>
          <w:i/>
          <w:iCs/>
        </w:rPr>
        <w:t xml:space="preserve">library research</w:t>
      </w:r>
      <w:r>
        <w:rPr>
          <w:rFonts w:ascii="Segoe UI" w:hAnsi="Segoe UI" w:cs="Segoe UI"/>
          <w:sz w:val="22"/>
          <w:szCs w:val="22"/>
        </w:rPr>
        <w:t xml:space="preserve">) untuk memperoleh buku, peraturan perundang-undangan, majalah, literatur, dan surat kabar yang berhubungan dengan objek penelitian, serta melalui penelitian lapangan (</w:t>
      </w:r>
      <w:r>
        <w:rPr>
          <w:rFonts w:ascii="Segoe UI" w:hAnsi="Segoe UI" w:cs="Segoe UI"/>
          <w:sz w:val="22"/>
          <w:szCs w:val="22"/>
          <w:i/>
          <w:iCs/>
        </w:rPr>
        <w:t xml:space="preserve">field research</w:t>
      </w:r>
      <w:r>
        <w:rPr>
          <w:rFonts w:ascii="Segoe UI" w:hAnsi="Segoe UI" w:cs="Segoe UI"/>
          <w:sz w:val="22"/>
          <w:szCs w:val="22"/>
        </w:rPr>
        <w:t xml:space="preserve">) berupa pengumpulan data dan dokumen disertai wawancara langsung dengan pihak instansi terkait.</w:t>
      </w:r>
    </w:p>
    <w:p>
      <w:pPr>
        <w:pStyle w:val="IEEEParagraph"/>
        <w:ind w:left="567" w:right="322" w:firstLine="567"/>
        <w:rPr>
          <w:rFonts w:ascii="Segoe UI" w:hAnsi="Segoe UI" w:cs="Segoe UI"/>
          <w:sz w:val="22"/>
          <w:szCs w:val="22"/>
        </w:rPr>
      </w:pPr>
      <w:r>
        <w:rPr>
          <w:rFonts w:ascii="Segoe UI" w:hAnsi="Segoe UI" w:cs="Segoe UI"/>
          <w:sz w:val="22"/>
          <w:szCs w:val="22"/>
        </w:rPr>
        <w:t xml:space="preserve">Terhadap perubahan peraturan yang terjadi sesudah rumusan awal kendala penelitian disusun, penelusuran diarahkan pada teks undang-undang dan publikasi resmi lembaga negara agar setiap pernyataan mengenai perubahan norma dapat diverifikasi sumbernya. Data yang tidak dapat diverifikasi tidak digunakan sebagai dasar argumentasi.</w:t>
      </w:r>
    </w:p>
    <w:p>
      <w:pPr>
        <w:pStyle w:val="IEEEParagraph"/>
        <w:ind w:left="567" w:right="322"/>
      </w:pPr>
    </w:p>
    <w:p>
      <w:pPr>
        <w:pStyle w:val="Heading2"/>
        <w:ind w:right="322"/>
        <w:rPr>
          <w:rStyle w:val="mediumtext"/>
        </w:rPr>
      </w:pPr>
      <w:r>
        <w:rPr>
          <w:rStyle w:val="mediumtext"/>
        </w:rPr>
        <w:t xml:space="preserve">2.4 Teknik Analisis Data</w:t>
      </w:r>
    </w:p>
    <w:p>
      <w:pPr>
        <w:pStyle w:val="IEEEParagraph"/>
        <w:ind w:left="567" w:right="322" w:firstLine="567"/>
        <w:rPr>
          <w:rFonts w:ascii="Segoe UI" w:hAnsi="Segoe UI" w:cs="Segoe UI"/>
          <w:sz w:val="22"/>
          <w:szCs w:val="22"/>
        </w:rPr>
      </w:pPr>
      <w:r>
        <w:rPr>
          <w:rFonts w:ascii="Segoe UI" w:hAnsi="Segoe UI" w:cs="Segoe UI"/>
          <w:sz w:val="22"/>
          <w:szCs w:val="22"/>
        </w:rPr>
        <w:t xml:space="preserve">Data primer maupun data sekunder dianalisis secara kualitatif dan diuraikan secara deskriptif untuk menjawab permasalahan. Analisis ditempuh melalui alur berjenjang: identifikasi bentuk upaya penanggulangan, identifikasi hambatan yang menyertainya, penelusuran norma yang menjadi sumber hambatan, dan penilaian atas kecukupan norma tersebut.</w:t>
      </w:r>
    </w:p>
    <w:p>
      <w:pPr>
        <w:pStyle w:val="IEEEParagraph"/>
        <w:ind w:left="567" w:right="322" w:firstLine="567"/>
        <w:rPr>
          <w:rFonts w:ascii="Segoe UI" w:hAnsi="Segoe UI" w:cs="Segoe UI"/>
          <w:sz w:val="22"/>
          <w:szCs w:val="22"/>
        </w:rPr>
      </w:pPr>
      <w:r>
        <w:rPr>
          <w:rFonts w:ascii="Segoe UI" w:hAnsi="Segoe UI" w:cs="Segoe UI"/>
          <w:sz w:val="22"/>
          <w:szCs w:val="22"/>
        </w:rPr>
        <w:t xml:space="preserve">Khusus untuk permasalahan kedua, analisis dilanjutkan dengan komparasi normatif, yaitu menyandingkan rumusan norma yang menjadi sumber kendala dengan rumusan norma yang berlaku sesudahnya. Komparasi ini menghasilkan penilaian mengenai kendala mana yang telah terjawab secara normatif dan kendala mana yang masih bertahan, sehingga rekomendasi yang disusun tidak mengulang usulan yang sebenarnya sudah dipenuhi oleh pembentuk undang-undang.</w:t>
      </w:r>
    </w:p>
    <w:p>
      <w:pPr>
        <w:pStyle w:val="IEEEParagraph"/>
        <w:ind w:left="567" w:right="322" w:firstLine="567"/>
        <w:rPr>
          <w:rFonts w:ascii="Segoe UI" w:hAnsi="Segoe UI" w:cs="Segoe UI"/>
          <w:sz w:val="22"/>
          <w:szCs w:val="22"/>
        </w:rPr>
      </w:pPr>
      <w:r>
        <w:rPr>
          <w:rFonts w:ascii="Segoe UI" w:hAnsi="Segoe UI" w:cs="Segoe UI"/>
          <w:sz w:val="22"/>
          <w:szCs w:val="22"/>
        </w:rPr>
        <w:t xml:space="preserve">Validitas analisis dijaga melalui tiga cara. Pertama, setiap uraian mengenai bentuk upaya penanggulangan ditelusuri pada sumber yang menerangkannya sehingga tidak ada praktik yang ditambahkan tanpa dasar. Kedua, setiap pernyataan mengenai rumusan pasal diperiksa langsung pada teks undang-undang, termasuk teks perubahannya, agar tidak terjadi kekeliruan penyebutan norma yang sudah tidak berlaku. Ketiga, setiap penilaian normatif diuji dengan menyandingkannya pada pandangan yang berbeda, khususnya pandangan yang mengingatkan risiko kriminalisasi berlebihan dan pelanggaran hak asasi manusia dalam penanganan terorisme, agar argumentasi yang dibangun tidak bersifat satu arah.</w:t>
      </w:r>
    </w:p>
    <w:p>
      <w:pPr>
        <w:pStyle w:val="IEEEParagraph"/>
        <w:ind w:left="567" w:right="322"/>
      </w:pPr>
    </w:p>
    <w:p>
      <w:pPr>
        <w:pStyle w:val="Heading2"/>
        <w:ind w:right="322"/>
        <w:rPr>
          <w:rStyle w:val="mediumtext"/>
        </w:rPr>
      </w:pPr>
      <w:r>
        <w:rPr>
          <w:rStyle w:val="mediumtext"/>
        </w:rPr>
        <w:t xml:space="preserve">2.5 Batasan Penelitian</w:t>
      </w:r>
    </w:p>
    <w:p>
      <w:pPr>
        <w:pStyle w:val="IEEEParagraph"/>
        <w:ind w:left="567" w:right="322" w:firstLine="567"/>
        <w:rPr>
          <w:rFonts w:ascii="Segoe UI" w:hAnsi="Segoe UI" w:cs="Segoe UI"/>
          <w:sz w:val="22"/>
          <w:szCs w:val="22"/>
        </w:rPr>
      </w:pPr>
      <w:r>
        <w:rPr>
          <w:rFonts w:ascii="Segoe UI" w:hAnsi="Segoe UI" w:cs="Segoe UI"/>
          <w:sz w:val="22"/>
          <w:szCs w:val="22"/>
        </w:rPr>
        <w:t xml:space="preserve">Penelitian ini dibatasi pada penanggulangan tindak pidana terorisme oleh Kepolisian Negara Republik Indonesia dan tidak membahas peran lembaga lain secara mendalam, kecuali sepanjang diperlukan untuk menjelaskan pola koordinasi. Penilaian terhadap regulasi terbaru juga dibatasi pada aspek rumusan delik, kewenangan acara, dan status keberlakuan norma, serta tidak mencakup pengukuran efektivitas secara statistik.</w:t>
      </w:r>
    </w:p>
    <w:p>
      <w:pPr>
        <w:pStyle w:val="IEEEParagraph"/>
        <w:ind w:left="567" w:right="322" w:firstLine="567"/>
        <w:rPr>
          <w:rFonts w:ascii="Segoe UI" w:hAnsi="Segoe UI" w:cs="Segoe UI"/>
          <w:sz w:val="22"/>
          <w:szCs w:val="22"/>
        </w:rPr>
      </w:pPr>
      <w:r>
        <w:rPr>
          <w:rFonts w:ascii="Segoe UI" w:hAnsi="Segoe UI" w:cs="Segoe UI"/>
          <w:sz w:val="22"/>
          <w:szCs w:val="22"/>
        </w:rPr>
        <w:t xml:space="preserve">Data capaian penindakan yang disajikan karenanya diperlakukan sebagai konteks yang memperkuat pembacaan atas norma, bukan sebagai bukti hubungan sebab akibat antara perubahan undang-undang dan menurunnya jumlah serangan. Penelitian ini juga tidak menilai keabsahan tindakan aparat dalam perkara konkret, melainkan menilai kecukupan norma yang menjadi dasar tindakan tersebut, sehingga kesimpulan yang ditarik berlaku pada tataran pengaturan dan bukan pada tataran perkara individual.</w:t>
      </w:r>
    </w:p>
    <w:p w14:paraId="12B5585A" w14:textId="6E9841B4" w:rsidR="001E0508" w:rsidRPr="001C62FB" w:rsidRDefault="006F0069" w:rsidP="006F0069">
      <w:pPr>
        <w:pStyle w:val="Heading3"/>
        <w:ind w:left="1134" w:hanging="283"/>
      </w:pPr>
      <w:r>
        <w:rPr>
          <w:iCs/>
        </w:rPr>
        <w:t>HASIL DA</w:t>
      </w:r>
      <w:r>
        <w:t>N PEMBAHASAN</w:t>
      </w:r>
    </w:p>
    <w:p>
      <w:pPr>
        <w:pStyle w:val="IEEEParagraph"/>
        <w:ind w:left="567" w:right="322" w:firstLine="567"/>
        <w:rPr>
          <w:rFonts w:ascii="Segoe UI" w:hAnsi="Segoe UI" w:cs="Segoe UI"/>
          <w:sz w:val="22"/>
          <w:szCs w:val="22"/>
        </w:rPr>
      </w:pPr>
      <w:r>
        <w:rPr>
          <w:rFonts w:ascii="Segoe UI" w:hAnsi="Segoe UI" w:cs="Segoe UI"/>
          <w:sz w:val="22"/>
          <w:szCs w:val="22"/>
        </w:rPr>
        <w:t xml:space="preserve">Hasil penelitian dan pembahasan disajikan secara terpadu mengikuti dua rumusan masalah. Subbagian 3.1 menguraikan dan menganalisis upaya penanggulangan yang ditempuh kepolisian, sedangkan subbagian 3.2 menguraikan kendala yuridis yang menyertainya sekaligus menilai status kendala tersebut dalam rezim hukum yang berlaku.</w:t>
      </w:r>
    </w:p>
    <w:p>
      <w:pPr>
        <w:pStyle w:val="IEEEParagraph"/>
        <w:ind w:left="567" w:right="322"/>
      </w:pPr>
    </w:p>
    <w:p>
      <w:pPr>
        <w:pStyle w:val="Heading2"/>
        <w:ind w:right="322"/>
        <w:rPr>
          <w:rStyle w:val="mediumtext"/>
        </w:rPr>
      </w:pPr>
      <w:r>
        <w:rPr>
          <w:rStyle w:val="mediumtext"/>
        </w:rPr>
        <w:t xml:space="preserve">3.1 Upaya Preventif dan Represif Kepolisian dalam Penanggulangan Tindak Pidana Terorisme</w:t>
      </w:r>
    </w:p>
    <w:p>
      <w:pPr>
        <w:pStyle w:val="IEEEParagraph"/>
        <w:ind w:left="567" w:right="322" w:firstLine="567"/>
        <w:rPr>
          <w:rFonts w:ascii="Segoe UI" w:hAnsi="Segoe UI" w:cs="Segoe UI"/>
          <w:sz w:val="22"/>
          <w:szCs w:val="22"/>
        </w:rPr>
      </w:pPr>
      <w:r>
        <w:rPr>
          <w:rFonts w:ascii="Segoe UI" w:hAnsi="Segoe UI" w:cs="Segoe UI"/>
          <w:sz w:val="22"/>
          <w:szCs w:val="22"/>
        </w:rPr>
        <w:t xml:space="preserve">Upaya penanggulangan tindak pidana terorisme yang ditempuh kepolisian terbagi ke dalam dua kelompok, yaitu upaya preventif dan upaya represif. Upaya preventif meliputi penyelenggaraan sosialisasi di masyarakat mengenai bahaya dan ancaman bom, pendataan seluruh organisasi garis keras atau radikal yang diketahui mengarah pada ancaman teror, serta penggalangan seluruh unsur terkait di bidang pendidikan, keagamaan, sosial, dan bidang lainnya untuk bersama-sama menanggulangi kejahatan terorisme. Berkaitan dengan organisasi radikal, kepolisian juga menjalankan proses deradikalisasi terhadap tersangka, terdakwa, terpidana, dan mantan narapidana kasus terorisme.</w:t>
      </w:r>
    </w:p>
    <w:p>
      <w:pPr>
        <w:pStyle w:val="IEEEParagraph"/>
        <w:ind w:left="567" w:right="322" w:firstLine="567"/>
        <w:rPr>
          <w:rFonts w:ascii="Segoe UI" w:hAnsi="Segoe UI" w:cs="Segoe UI"/>
          <w:sz w:val="22"/>
          <w:szCs w:val="22"/>
        </w:rPr>
      </w:pPr>
      <w:r>
        <w:rPr>
          <w:rFonts w:ascii="Segoe UI" w:hAnsi="Segoe UI" w:cs="Segoe UI"/>
          <w:sz w:val="22"/>
          <w:szCs w:val="22"/>
        </w:rPr>
        <w:t xml:space="preserve">Upaya represif meliputi penyelidikan dan penyidikan, penangkapan, serta penahanan. Kewenangan penyelidikan dan penyidikan bersumber pada hukum acara yang berlaku, dan kepolisian menjalankannya melalui Detasemen Khusus 88 Antiteror yang dirancang sebagai unit dengan kemampuan mengatasi gangguan teroris mulai dari ancaman bom hingga penyanderaan. Dalam praktiknya kepolisian tidak bekerja sendirian, melainkan berkoordinasi dengan pihak imigrasi untuk mengawasi mobilitas lintas negara, dengan Bea dan Cukai untuk mencegah penyelundupan alat penunjang, dengan Tentara Nasional Indonesia berkaitan dengan penggunaan persenjataan berteknologi tinggi, serta dengan lembaga intelijen negara karena pola gerak pelaku menyerupai pola intelijen.</w:t>
      </w:r>
    </w:p>
    <w:p>
      <w:pPr>
        <w:pStyle w:val="IEEEParagraph"/>
        <w:ind w:left="567" w:right="322" w:firstLine="567"/>
        <w:rPr>
          <w:rFonts w:ascii="Segoe UI" w:hAnsi="Segoe UI" w:cs="Segoe UI"/>
          <w:sz w:val="22"/>
          <w:szCs w:val="22"/>
        </w:rPr>
      </w:pPr>
      <w:r>
        <w:rPr>
          <w:rFonts w:ascii="Segoe UI" w:hAnsi="Segoe UI" w:cs="Segoe UI"/>
          <w:sz w:val="22"/>
          <w:szCs w:val="22"/>
        </w:rPr>
        <w:t xml:space="preserve">Menurut analisis penulis, pembagian preventif dan represif tersebut memperlihatkan bahwa penanggulangan terorisme di Indonesia tidak bertumpu pada satu jalur tunggal. Secara yuridis, corak ini sejalan dengan gagasan kebijakan hukum pidana yang menempatkan sarana penal dan nonpenal sebagai satu kesatuan (Arief, 2012), dan dengan pandangan bahwa penegakan hukum pidana tidak dapat dilepaskan dari keseluruhan sistem peradilan pidana beserta lembaga-lembaga pendukungnya (Reksodiputro, 2014). Upaya preventif tidak sekadar melengkapi upaya represif; upaya preventif justru menentukan apakah aparat memiliki kesempatan bertindak sebelum korban jatuh.</w:t>
      </w:r>
    </w:p>
    <w:p>
      <w:pPr>
        <w:pStyle w:val="IEEEParagraph"/>
        <w:ind w:left="567" w:right="322" w:firstLine="567"/>
        <w:rPr>
          <w:rFonts w:ascii="Segoe UI" w:hAnsi="Segoe UI" w:cs="Segoe UI"/>
          <w:sz w:val="22"/>
          <w:szCs w:val="22"/>
        </w:rPr>
      </w:pPr>
      <w:r>
        <w:rPr>
          <w:rFonts w:ascii="Segoe UI" w:hAnsi="Segoe UI" w:cs="Segoe UI"/>
          <w:sz w:val="22"/>
          <w:szCs w:val="22"/>
        </w:rPr>
        <w:t xml:space="preserve">Jika dikaitkan dengan teori penegakan hukum, upaya preventif berbentuk sosialisasi dan penggalangan lintas sektor bekerja pada faktor masyarakat dan faktor kebudayaan, sedangkan upaya represif bekerja pada faktor aparat dan faktor sarana. Hukum tidak akan bekerja hanya karena normanya tersedia; ia menuntut dukungan kelembagaan dan penerimaan sosial (Rahardjo, 2011). Dari perspektif teori pemidanaan, upaya represif dalam perkara terorisme cenderung bercorak pencegahan umum, yaitu melumpuhkan jaringan dan menimbulkan efek jera, sementara deradikalisasi bercorak perawatan yang berorientasi pada perubahan cara berpikir pelaku (Muladi &amp; Arief, 2012). Keduanya tidak saling meniadakan, melainkan menyasar tahap yang berbeda dalam rantai radikalisasi.</w:t>
      </w:r>
    </w:p>
    <w:p>
      <w:pPr>
        <w:pStyle w:val="IEEEParagraph"/>
        <w:ind w:left="567" w:right="322" w:firstLine="567"/>
        <w:rPr>
          <w:rFonts w:ascii="Segoe UI" w:hAnsi="Segoe UI" w:cs="Segoe UI"/>
          <w:sz w:val="22"/>
          <w:szCs w:val="22"/>
        </w:rPr>
      </w:pPr>
      <w:r>
        <w:rPr>
          <w:rFonts w:ascii="Segoe UI" w:hAnsi="Segoe UI" w:cs="Segoe UI"/>
          <w:sz w:val="22"/>
          <w:szCs w:val="22"/>
        </w:rPr>
        <w:t xml:space="preserve">Temuan tersebut memperoleh dukungan dari data capaian penegakan hukum. Kepolisian melaporkan bahwa Indonesia mempertahankan status nihil serangan teroris selama tiga tahun berturut-turut pada periode 2023 sampai 2025, sementara jumlah tersangka yang ditangkap justru menurun secara berurutan. Tabel 1 menyajikan perkembangan capaian tersebut.</w:t>
      </w:r>
    </w:p>
    <w:p>
      <w:pPr>
        <w:keepNext/>
        <w:keepLines/>
        <w:spacing w:before="120" w:after="60" w:line="240" w:lineRule="auto"/>
        <w:ind w:left="567" w:right="322"/>
        <w:jc w:val="left"/>
        <w:rPr>
          <w:rFonts w:ascii="Segoe UI" w:hAnsi="Segoe UI" w:cs="Segoe UI"/>
          <w:sz w:val="20"/>
          <w:szCs w:val="20"/>
        </w:rPr>
      </w:pPr>
      <w:r>
        <w:rPr>
          <w:rFonts w:ascii="Segoe UI" w:hAnsi="Segoe UI" w:cs="Segoe UI"/>
          <w:b/>
          <w:bCs/>
          <w:sz w:val="20"/>
          <w:szCs w:val="20"/>
        </w:rPr>
        <w:t xml:space="preserve">Tabel 1. </w:t>
      </w:r>
      <w:r>
        <w:rPr>
          <w:rFonts w:ascii="Segoe UI" w:hAnsi="Segoe UI" w:cs="Segoe UI"/>
          <w:sz w:val="20"/>
          <w:szCs w:val="20"/>
        </w:rPr>
        <w:t xml:space="preserve">Capaian Penanggulangan Tindak Pidana Terorisme Periode 2023–2025</w:t>
      </w:r>
    </w:p>
    <w:tbl>
      <w:tblPr>
        <w:tblW w:w="9026" w:type="dxa"/>
        <w:tblInd w:w="567" w:type="dxa"/>
        <w:tblBorders>
          <w:top w:val="single" w:sz="4" w:space="0" w:color="auto"/>
          <w:bottom w:val="single" w:sz="4" w:space="0" w:color="auto"/>
        </w:tblBorders>
        <w:tblLayout w:type="fixed"/>
        <w:tblLook w:val="04A0" w:firstRow="1" w:lastRow="0" w:firstColumn="1" w:lastColumn="0" w:noHBand="0" w:noVBand="1"/>
      </w:tblPr>
      <w:tblGrid>
        <w:gridCol w:w="1100"/>
        <w:gridCol w:w="1700"/>
        <w:gridCol w:w="2200"/>
        <w:gridCol w:w="4026"/>
      </w:tblGrid>
      <w:tr>
        <w:trPr>
          <w:cantSplit/>
          <w:tblHeader/>
        </w:trPr>
        <w:tc>
          <w:tcPr>
            <w:tcW w:w="11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Tahun</w:t>
            </w:r>
          </w:p>
        </w:tc>
        <w:tc>
          <w:tcPr>
            <w:tcW w:w="17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Serangan Teroris</w:t>
            </w:r>
          </w:p>
        </w:tc>
        <w:tc>
          <w:tcPr>
            <w:tcW w:w="22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Tersangka Ditangkap Densus 88</w:t>
            </w:r>
          </w:p>
        </w:tc>
        <w:tc>
          <w:tcPr>
            <w:tcW w:w="4026"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Catatan</w:t>
            </w:r>
          </w:p>
        </w:tc>
      </w:tr>
      <w:tr>
        <w:trPr>
          <w:cantSplit/>
        </w:trPr>
        <w:tc>
          <w:tcPr>
            <w:tcW w:w="11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2023</w:t>
            </w:r>
          </w:p>
        </w:tc>
        <w:tc>
          <w:tcPr>
            <w:tcW w:w="17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Nihil</w:t>
            </w:r>
          </w:p>
        </w:tc>
        <w:tc>
          <w:tcPr>
            <w:tcW w:w="2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147 orang</w:t>
            </w:r>
          </w:p>
        </w:tc>
        <w:tc>
          <w:tcPr>
            <w:tcW w:w="40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Awal periode nihil serangan; penindakan paling intensif</w:t>
            </w:r>
          </w:p>
        </w:tc>
      </w:tr>
      <w:tr>
        <w:trPr>
          <w:cantSplit/>
        </w:trPr>
        <w:tc>
          <w:tcPr>
            <w:tcW w:w="11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2024</w:t>
            </w:r>
          </w:p>
        </w:tc>
        <w:tc>
          <w:tcPr>
            <w:tcW w:w="17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Nihil</w:t>
            </w:r>
          </w:p>
        </w:tc>
        <w:tc>
          <w:tcPr>
            <w:tcW w:w="2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55 orang</w:t>
            </w:r>
          </w:p>
        </w:tc>
        <w:tc>
          <w:tcPr>
            <w:tcW w:w="40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Pembubaran kelompok Jemaah Islamiyah pada Juni 2024</w:t>
            </w:r>
          </w:p>
        </w:tc>
      </w:tr>
      <w:tr>
        <w:trPr>
          <w:cantSplit/>
        </w:trPr>
        <w:tc>
          <w:tcPr>
            <w:tcW w:w="11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2025</w:t>
            </w:r>
          </w:p>
        </w:tc>
        <w:tc>
          <w:tcPr>
            <w:tcW w:w="17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Nihil</w:t>
            </w:r>
          </w:p>
        </w:tc>
        <w:tc>
          <w:tcPr>
            <w:tcW w:w="22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51 orang</w:t>
            </w:r>
          </w:p>
        </w:tc>
        <w:tc>
          <w:tcPr>
            <w:tcW w:w="40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Status nihil serangan bertahan tiga tahun berturut-turut</w:t>
            </w:r>
          </w:p>
        </w:tc>
      </w:tr>
    </w:tbl>
    <w:p>
      <w:pPr>
        <w:spacing w:before="60" w:after="180" w:line="240" w:lineRule="auto"/>
        <w:ind w:left="567" w:right="322"/>
        <w:jc w:val="left"/>
        <w:rPr>
          <w:rFonts w:ascii="Segoe UI" w:hAnsi="Segoe UI" w:cs="Segoe UI"/>
          <w:i/>
          <w:iCs/>
          <w:sz w:val="18"/>
          <w:szCs w:val="18"/>
        </w:rPr>
      </w:pPr>
      <w:r>
        <w:rPr>
          <w:rFonts w:ascii="Segoe UI" w:hAnsi="Segoe UI" w:cs="Segoe UI"/>
          <w:i/>
          <w:iCs/>
          <w:sz w:val="18"/>
          <w:szCs w:val="18"/>
        </w:rPr>
        <w:t xml:space="preserve">Sumber: Diolah dari Rilis Akhir Tahun Kepolisian Negara Republik Indonesia (Polri, 2025)</w:t>
      </w:r>
    </w:p>
    <w:p>
      <w:pPr>
        <w:pStyle w:val="IEEEParagraph"/>
        <w:ind w:left="567" w:right="322" w:firstLine="567"/>
        <w:rPr>
          <w:rFonts w:ascii="Segoe UI" w:hAnsi="Segoe UI" w:cs="Segoe UI"/>
          <w:sz w:val="22"/>
          <w:szCs w:val="22"/>
        </w:rPr>
      </w:pPr>
      <w:r>
        <w:rPr>
          <w:rFonts w:ascii="Segoe UI" w:hAnsi="Segoe UI" w:cs="Segoe UI"/>
          <w:sz w:val="22"/>
          <w:szCs w:val="22"/>
        </w:rPr>
        <w:t xml:space="preserve">Data tersebut perlu dibaca secara hati-hati. Nihilnya serangan tidak identik dengan hilangnya ancaman, sebab menurunnya jumlah penangkapan dapat berarti melemahnya jaringan sekaligus dapat berarti berpindahnya aktivitas ke ruang yang lebih sulit dijangkau, khususnya ruang digital tempat perekrutan dan propaganda berlangsung. Karena itu, temuan ini tidak dipakai untuk menyimpulkan keberhasilan secara mutlak, melainkan untuk menunjukkan bahwa kombinasi upaya preventif dan represif memberikan hasil yang terukur ketika ditopang instrumen hukum yang memadai.</w:t>
      </w:r>
    </w:p>
    <w:p>
      <w:pPr>
        <w:pStyle w:val="IEEEParagraph"/>
        <w:ind w:left="567" w:right="322"/>
      </w:pPr>
    </w:p>
    <w:p>
      <w:pPr>
        <w:pStyle w:val="Heading2"/>
        <w:ind w:right="322"/>
        <w:rPr>
          <w:rStyle w:val="mediumtext"/>
        </w:rPr>
      </w:pPr>
      <w:r>
        <w:rPr>
          <w:rStyle w:val="mediumtext"/>
        </w:rPr>
        <w:t xml:space="preserve">3.2 Kendala Yuridis dan Statusnya dalam Rezim Hukum yang Berlaku</w:t>
      </w:r>
    </w:p>
    <w:p>
      <w:pPr>
        <w:pStyle w:val="IEEEParagraph"/>
        <w:ind w:left="567" w:right="322" w:firstLine="567"/>
        <w:rPr>
          <w:rFonts w:ascii="Segoe UI" w:hAnsi="Segoe UI" w:cs="Segoe UI"/>
          <w:sz w:val="22"/>
          <w:szCs w:val="22"/>
        </w:rPr>
      </w:pPr>
      <w:r>
        <w:rPr>
          <w:rFonts w:ascii="Segoe UI" w:hAnsi="Segoe UI" w:cs="Segoe UI"/>
          <w:sz w:val="22"/>
          <w:szCs w:val="22"/>
        </w:rPr>
        <w:t xml:space="preserve">Meskipun kepolisian mampu mengungkap dan menangkap pelaku, penanggulangan terorisme tidak berlangsung tanpa hambatan. Berdasarkan penelusuran terhadap praktik penyidikan pada masa berlakunya Undang-Undang Nomor 15 Tahun 2003 dalam rumusan aslinya, ditemukan empat kendala yang bersumber pada norma.</w:t>
      </w:r>
    </w:p>
    <w:p>
      <w:pPr>
        <w:pStyle w:val="IEEEParagraph"/>
        <w:ind w:left="567" w:right="322" w:firstLine="567"/>
        <w:rPr>
          <w:rFonts w:ascii="Segoe UI" w:hAnsi="Segoe UI" w:cs="Segoe UI"/>
          <w:sz w:val="22"/>
          <w:szCs w:val="22"/>
        </w:rPr>
      </w:pPr>
      <w:r>
        <w:rPr>
          <w:rFonts w:ascii="Segoe UI" w:hAnsi="Segoe UI" w:cs="Segoe UI"/>
          <w:sz w:val="22"/>
          <w:szCs w:val="22"/>
        </w:rPr>
        <w:t xml:space="preserve">Kendala pertama menyangkut masa penangkapan dan penahanan. Pasal 28 undang-undang tersebut hanya memberi penyidik waktu penangkapan paling lama 7 x 24 jam, sedangkan Pasal 25 memberi kewenangan penahanan paling lama enam bulan untuk kepentingan penyidikan dan penuntutan. Jangka waktu itu dirasakan kurang memadai untuk mengungkap jaringan berskala nasional, regional, maupun internasional yang bersifat tertutup dan bermobilitas tinggi.</w:t>
      </w:r>
    </w:p>
    <w:p>
      <w:pPr>
        <w:pStyle w:val="IEEEParagraph"/>
        <w:ind w:left="567" w:right="322" w:firstLine="567"/>
        <w:rPr>
          <w:rFonts w:ascii="Segoe UI" w:hAnsi="Segoe UI" w:cs="Segoe UI"/>
          <w:sz w:val="22"/>
          <w:szCs w:val="22"/>
        </w:rPr>
      </w:pPr>
      <w:r>
        <w:rPr>
          <w:rFonts w:ascii="Segoe UI" w:hAnsi="Segoe UI" w:cs="Segoe UI"/>
          <w:sz w:val="22"/>
          <w:szCs w:val="22"/>
        </w:rPr>
        <w:t xml:space="preserve">Kendala kedua menyangkut kegiatan pendahuluan (</w:t>
      </w:r>
      <w:r>
        <w:rPr>
          <w:rFonts w:ascii="Segoe UI" w:hAnsi="Segoe UI" w:cs="Segoe UI"/>
          <w:sz w:val="22"/>
          <w:szCs w:val="22"/>
          <w:i/>
          <w:iCs/>
        </w:rPr>
        <w:t xml:space="preserve">precursor activities</w:t>
      </w:r>
      <w:r>
        <w:rPr>
          <w:rFonts w:ascii="Segoe UI" w:hAnsi="Segoe UI" w:cs="Segoe UI"/>
          <w:sz w:val="22"/>
          <w:szCs w:val="22"/>
        </w:rPr>
        <w:t xml:space="preserve">). Undang-undang tersebut belum mencakup kegiatan pendahuluan sebagai perbuatan yang dapat dipidana, padahal aksi teror selalu didahului persiapan dan pelatihan. Pelatihan militer di kawasan pegunungan Jalin, Kecamatan Jantho, Kabupaten Aceh Besar yang terbongkar pada awal 2010 memperlihatkan persoalan ini secara konkret: pelakunya tidak dapat dijerat semata-mata karena mengikuti pelatihan. Pasal 14 memang menjangkau pihak yang merencanakan atau menggerakkan orang lain, tetapi ketentuan itu difokuskan pada </w:t>
      </w:r>
      <w:r>
        <w:rPr>
          <w:rFonts w:ascii="Segoe UI" w:hAnsi="Segoe UI" w:cs="Segoe UI"/>
          <w:sz w:val="22"/>
          <w:szCs w:val="22"/>
          <w:i/>
          <w:iCs/>
        </w:rPr>
        <w:t xml:space="preserve">actor intellectualis</w:t>
      </w:r>
      <w:r>
        <w:rPr>
          <w:rFonts w:ascii="Segoe UI" w:hAnsi="Segoe UI" w:cs="Segoe UI"/>
          <w:sz w:val="22"/>
          <w:szCs w:val="22"/>
        </w:rPr>
        <w:t xml:space="preserve"> dan belum mencakup perekrutan, pembaiatan, maupun penyelenggaraan pelatihan.</w:t>
      </w:r>
    </w:p>
    <w:p>
      <w:pPr>
        <w:pStyle w:val="IEEEParagraph"/>
        <w:ind w:left="567" w:right="322" w:firstLine="567"/>
        <w:rPr>
          <w:rFonts w:ascii="Segoe UI" w:hAnsi="Segoe UI" w:cs="Segoe UI"/>
          <w:sz w:val="22"/>
          <w:szCs w:val="22"/>
        </w:rPr>
      </w:pPr>
      <w:r>
        <w:rPr>
          <w:rFonts w:ascii="Segoe UI" w:hAnsi="Segoe UI" w:cs="Segoe UI"/>
          <w:sz w:val="22"/>
          <w:szCs w:val="22"/>
        </w:rPr>
        <w:t xml:space="preserve">Kendala ketiga menyangkut kedudukan laporan intelijen. Pasal 26 menentukan bahwa laporan intelijen hanya dapat digunakan untuk memperoleh bukti permulaan yang cukup, dan penetapannya harus melalui pemeriksaan tertutup oleh Ketua atau Wakil Ketua Pengadilan Negeri dalam waktu paling lama tiga hari. Laporan intelijen dengan demikian tidak berkedudukan sebagai alat bukti di persidangan, sehingga peran intelijen dalam mengungkap jaringan menjadi terbatas dan penyidik cenderung hanya menjangkau pelaku lapangan, bukan tokoh ideologis.</w:t>
      </w:r>
    </w:p>
    <w:p>
      <w:pPr>
        <w:pStyle w:val="IEEEParagraph"/>
        <w:ind w:left="567" w:right="322" w:firstLine="567"/>
        <w:rPr>
          <w:rFonts w:ascii="Segoe UI" w:hAnsi="Segoe UI" w:cs="Segoe UI"/>
          <w:sz w:val="22"/>
          <w:szCs w:val="22"/>
        </w:rPr>
      </w:pPr>
      <w:r>
        <w:rPr>
          <w:rFonts w:ascii="Segoe UI" w:hAnsi="Segoe UI" w:cs="Segoe UI"/>
          <w:sz w:val="22"/>
          <w:szCs w:val="22"/>
        </w:rPr>
        <w:t xml:space="preserve">Kendala keempat menyangkut deradikalisasi. Pengalaman menunjukkan bahwa penangkapan, penahanan, dan penghukuman melalui persidangan tidak dengan sendirinya menghentikan pelaku untuk kembali melakukan aksi kekerasan, sedangkan penindakan yang disertai deradikalisasi memberikan hasil yang signifikan. Program deradikalisasi menuntut tiga kunci, yaitu pendekatan humanis, </w:t>
      </w:r>
      <w:r>
        <w:rPr>
          <w:rFonts w:ascii="Segoe UI" w:hAnsi="Segoe UI" w:cs="Segoe UI"/>
          <w:sz w:val="22"/>
          <w:szCs w:val="22"/>
          <w:i/>
          <w:iCs/>
        </w:rPr>
        <w:t xml:space="preserve">soul approach</w:t>
      </w:r>
      <w:r>
        <w:rPr>
          <w:rFonts w:ascii="Segoe UI" w:hAnsi="Segoe UI" w:cs="Segoe UI"/>
          <w:sz w:val="22"/>
          <w:szCs w:val="22"/>
        </w:rPr>
        <w:t xml:space="preserve">, dan menyentuh akar rumput, sehingga sasarannya tidak terbatas pada narapidana melainkan meluas pada simpatisan dan anggota masyarakat yang telah terpapar paham radikal (Golose, 2009).</w:t>
      </w:r>
    </w:p>
    <w:p>
      <w:pPr>
        <w:pStyle w:val="IEEEParagraph"/>
        <w:ind w:left="567" w:right="322" w:firstLine="567"/>
        <w:rPr>
          <w:rFonts w:ascii="Segoe UI" w:hAnsi="Segoe UI" w:cs="Segoe UI"/>
          <w:sz w:val="22"/>
          <w:szCs w:val="22"/>
        </w:rPr>
      </w:pPr>
      <w:r>
        <w:rPr>
          <w:rFonts w:ascii="Segoe UI" w:hAnsi="Segoe UI" w:cs="Segoe UI"/>
          <w:sz w:val="22"/>
          <w:szCs w:val="22"/>
        </w:rPr>
        <w:t xml:space="preserve">Keempat kendala tersebut perlu diuji terhadap hukum yang berlaku sekarang. Tabel 2 menyandingkan rumusan norma yang menjadi sumber kendala dengan rumusan norma yang berlaku sesudahnya.</w:t>
      </w:r>
    </w:p>
    <w:p>
      <w:pPr>
        <w:keepNext/>
        <w:keepLines/>
        <w:spacing w:before="120" w:after="60" w:line="240" w:lineRule="auto"/>
        <w:ind w:left="567" w:right="322"/>
        <w:jc w:val="left"/>
        <w:rPr>
          <w:rFonts w:ascii="Segoe UI" w:hAnsi="Segoe UI" w:cs="Segoe UI"/>
          <w:sz w:val="20"/>
          <w:szCs w:val="20"/>
        </w:rPr>
      </w:pPr>
      <w:r>
        <w:rPr>
          <w:rFonts w:ascii="Segoe UI" w:hAnsi="Segoe UI" w:cs="Segoe UI"/>
          <w:b/>
          <w:bCs/>
          <w:sz w:val="20"/>
          <w:szCs w:val="20"/>
        </w:rPr>
        <w:t xml:space="preserve">Tabel 2. </w:t>
      </w:r>
      <w:r>
        <w:rPr>
          <w:rFonts w:ascii="Segoe UI" w:hAnsi="Segoe UI" w:cs="Segoe UI"/>
          <w:sz w:val="20"/>
          <w:szCs w:val="20"/>
        </w:rPr>
        <w:t xml:space="preserve">Perbandingan Kendala Yuridis dengan Norma yang Berlaku Sesudahnya</w:t>
      </w:r>
    </w:p>
    <w:tbl>
      <w:tblPr>
        <w:tblW w:w="9026" w:type="dxa"/>
        <w:tblInd w:w="567" w:type="dxa"/>
        <w:tblBorders>
          <w:top w:val="single" w:sz="4" w:space="0" w:color="auto"/>
          <w:bottom w:val="single" w:sz="4" w:space="0" w:color="auto"/>
        </w:tblBorders>
        <w:tblLayout w:type="fixed"/>
        <w:tblLook w:val="04A0" w:firstRow="1" w:lastRow="0" w:firstColumn="1" w:lastColumn="0" w:noHBand="0" w:noVBand="1"/>
      </w:tblPr>
      <w:tblGrid>
        <w:gridCol w:w="1750"/>
        <w:gridCol w:w="2350"/>
        <w:gridCol w:w="3400"/>
        <w:gridCol w:w="1526"/>
      </w:tblGrid>
      <w:tr>
        <w:trPr>
          <w:cantSplit/>
          <w:tblHeader/>
        </w:trPr>
        <w:tc>
          <w:tcPr>
            <w:tcW w:w="175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Kendala</w:t>
            </w:r>
          </w:p>
        </w:tc>
        <w:tc>
          <w:tcPr>
            <w:tcW w:w="235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Rumusan pada UU No. 15 Tahun 2003</w:t>
            </w:r>
          </w:p>
        </w:tc>
        <w:tc>
          <w:tcPr>
            <w:tcW w:w="3400"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Rumusan Sesudah UU No. 5 Tahun 2018</w:t>
            </w:r>
          </w:p>
        </w:tc>
        <w:tc>
          <w:tcPr>
            <w:tcW w:w="1526" w:type="dxa"/>
            <w:tcBorders>
              <w:top w:val="single" w:sz="4" w:space="0" w:color="auto"/>
              <w:bottom w:val="single" w:sz="4" w:space="0" w:color="auto"/>
            </w:tcBorders>
            <w:tcMar>
              <w:top w:w="40" w:type="dxa"/>
              <w:left w:w="72" w:type="dxa"/>
              <w:bottom w:w="40" w:type="dxa"/>
              <w:right w:w="72" w:type="dxa"/>
            </w:tcMar>
          </w:tcPr>
          <w:p>
            <w:pPr>
              <w:spacing w:after="0" w:line="240" w:lineRule="auto"/>
              <w:jc w:val="left"/>
              <w:rPr>
                <w:rFonts w:ascii="Segoe UI" w:hAnsi="Segoe UI" w:cs="Segoe UI"/>
                <w:b/>
                <w:bCs/>
                <w:sz w:val="18"/>
                <w:szCs w:val="18"/>
              </w:rPr>
            </w:pPr>
            <w:r>
              <w:rPr>
                <w:rFonts w:ascii="Segoe UI" w:hAnsi="Segoe UI" w:cs="Segoe UI"/>
                <w:b/>
                <w:bCs/>
                <w:sz w:val="18"/>
                <w:szCs w:val="18"/>
              </w:rPr>
              <w:t xml:space="preserve">Status</w:t>
            </w:r>
          </w:p>
        </w:tc>
      </w:tr>
      <w:tr>
        <w:trPr>
          <w:cantSplit/>
        </w:trPr>
        <w:tc>
          <w:tcPr>
            <w:tcW w:w="17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Masa penangkapan dan penahanan</w:t>
            </w:r>
          </w:p>
        </w:tc>
        <w:tc>
          <w:tcPr>
            <w:tcW w:w="23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Penangkapan paling lama 7 x 24 jam; penahanan paling lama 6 bulan</w:t>
            </w:r>
          </w:p>
        </w:tc>
        <w:tc>
          <w:tcPr>
            <w:tcW w:w="3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Penangkapan paling lama 14 hari dan dapat diperpanjang 7 hari; penahanan penyidik hingga 200 hari dan penuntut umum hingga 90 hari</w:t>
            </w:r>
          </w:p>
        </w:tc>
        <w:tc>
          <w:tcPr>
            <w:tcW w:w="15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Terjawab secara normatif</w:t>
            </w:r>
          </w:p>
        </w:tc>
      </w:tr>
      <w:tr>
        <w:trPr>
          <w:cantSplit/>
        </w:trPr>
        <w:tc>
          <w:tcPr>
            <w:tcW w:w="17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Kegiatan pendahuluan sebagai tindak pidana</w:t>
            </w:r>
          </w:p>
        </w:tc>
        <w:tc>
          <w:tcPr>
            <w:tcW w:w="23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Hanya menjangkau perencana dan penggerak (Pasal 14)</w:t>
            </w:r>
          </w:p>
        </w:tc>
        <w:tc>
          <w:tcPr>
            <w:tcW w:w="3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Pasal 12A memidana keanggotaan dan perekrutan organisasi teroris; Pasal 12B memidana penyelenggaraan, pemberian, dan pengikutan pelatihan militer atau paramiliter; Pasal 13A memidana hasutan</w:t>
            </w:r>
          </w:p>
        </w:tc>
        <w:tc>
          <w:tcPr>
            <w:tcW w:w="15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Terjawab secara normatif</w:t>
            </w:r>
          </w:p>
        </w:tc>
      </w:tr>
      <w:tr>
        <w:trPr>
          <w:cantSplit/>
        </w:trPr>
        <w:tc>
          <w:tcPr>
            <w:tcW w:w="17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Kedudukan laporan intelijen</w:t>
            </w:r>
          </w:p>
        </w:tc>
        <w:tc>
          <w:tcPr>
            <w:tcW w:w="23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Hanya untuk bukti permulaan melalui pemeriksaan tertutup Ketua atau Wakil Ketua Pengadilan Negeri (Pasal 26)</w:t>
            </w:r>
          </w:p>
        </w:tc>
        <w:tc>
          <w:tcPr>
            <w:tcW w:w="3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Ketentuan Pasal 26 tetap dipertahankan</w:t>
            </w:r>
          </w:p>
        </w:tc>
        <w:tc>
          <w:tcPr>
            <w:tcW w:w="15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Belum terjawab</w:t>
            </w:r>
          </w:p>
        </w:tc>
      </w:tr>
      <w:tr>
        <w:trPr>
          <w:cantSplit/>
        </w:trPr>
        <w:tc>
          <w:tcPr>
            <w:tcW w:w="17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Deradikalisasi</w:t>
            </w:r>
          </w:p>
        </w:tc>
        <w:tc>
          <w:tcPr>
            <w:tcW w:w="235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Tidak diatur secara tegas dalam batang tubuh</w:t>
            </w:r>
          </w:p>
        </w:tc>
        <w:tc>
          <w:tcPr>
            <w:tcW w:w="3400"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Diatur sebagai bagian pencegahan bersama kesiapsiagaan nasional dan kontra radikalisasi, dengan BNPT sebagai pengoordinasi</w:t>
            </w:r>
          </w:p>
        </w:tc>
        <w:tc>
          <w:tcPr>
            <w:tcW w:w="1526" w:type="dxa"/>
            <w:tcBorders>
              <w:top w:val="single" w:sz="4" w:space="0" w:color="auto"/>
            </w:tcBorders>
            <w:tcMar>
              <w:top w:w="40" w:type="dxa"/>
              <w:left w:w="72" w:type="dxa"/>
              <w:bottom w:w="40" w:type="dxa"/>
              <w:right w:w="72" w:type="dxa"/>
            </w:tcMar>
          </w:tcPr>
          <w:p>
            <w:pPr>
              <w:spacing w:after="0" w:line="240" w:lineRule="auto"/>
              <w:jc w:val="left"/>
              <w:rPr>
                <w:rFonts w:ascii="Segoe UI" w:hAnsi="Segoe UI" w:cs="Segoe UI"/>
                <w:sz w:val="18"/>
                <w:szCs w:val="18"/>
              </w:rPr>
            </w:pPr>
            <w:r>
              <w:rPr>
                <w:rFonts w:ascii="Segoe UI" w:hAnsi="Segoe UI" w:cs="Segoe UI"/>
                <w:sz w:val="18"/>
                <w:szCs w:val="18"/>
              </w:rPr>
              <w:t xml:space="preserve">Terjawab secara normatif</w:t>
            </w:r>
          </w:p>
        </w:tc>
      </w:tr>
    </w:tbl>
    <w:p>
      <w:pPr>
        <w:spacing w:before="60" w:after="180" w:line="240" w:lineRule="auto"/>
        <w:ind w:left="567" w:right="322"/>
        <w:jc w:val="left"/>
        <w:rPr>
          <w:rFonts w:ascii="Segoe UI" w:hAnsi="Segoe UI" w:cs="Segoe UI"/>
          <w:i/>
          <w:iCs/>
          <w:sz w:val="18"/>
          <w:szCs w:val="18"/>
        </w:rPr>
      </w:pPr>
      <w:r>
        <w:rPr>
          <w:rFonts w:ascii="Segoe UI" w:hAnsi="Segoe UI" w:cs="Segoe UI"/>
          <w:i/>
          <w:iCs/>
          <w:sz w:val="18"/>
          <w:szCs w:val="18"/>
        </w:rPr>
        <w:t xml:space="preserve">Sumber: Diolah dari UU No. 15 Tahun 2003 dan UU No. 5 Tahun 2018</w:t>
      </w:r>
    </w:p>
    <w:p>
      <w:pPr>
        <w:pStyle w:val="IEEEParagraph"/>
        <w:ind w:left="567" w:right="322" w:firstLine="567"/>
        <w:rPr>
          <w:rFonts w:ascii="Segoe UI" w:hAnsi="Segoe UI" w:cs="Segoe UI"/>
          <w:sz w:val="22"/>
          <w:szCs w:val="22"/>
        </w:rPr>
      </w:pPr>
      <w:r>
        <w:rPr>
          <w:rFonts w:ascii="Segoe UI" w:hAnsi="Segoe UI" w:cs="Segoe UI"/>
          <w:sz w:val="22"/>
          <w:szCs w:val="22"/>
        </w:rPr>
        <w:t xml:space="preserve">Menurut analisis penulis, perbandingan tersebut menghasilkan tiga penegasan. Pertama, tiga dari empat kendala yang diidentifikasi telah dijawab oleh pembentuk undang-undang. Perpanjangan masa penangkapan dan penahanan menjawab persoalan waktu pengungkapan jaringan; kriminalisasi keanggotaan, perekrutan, pelatihan, dan hasutan menjawab persoalan kegiatan pendahuluan; sedangkan pengaturan pencegahan yang mencakup kesiapsiagaan nasional, kontra radikalisasi, dan deradikalisasi memindahkan deradikalisasi dari ranah program menjadi kewajiban yang bersumber pada undang-undang. Secara teoretis, pergeseran ini menandai perpindahan dari model penanggulangan yang reaktif menuju model yang antisipatif, yakni hukum tidak lagi menunggu akibat tetapi memutus rantai radikalisasi pada tahap yang lebih awal.</w:t>
      </w:r>
    </w:p>
    <w:p>
      <w:pPr>
        <w:pStyle w:val="IEEEParagraph"/>
        <w:ind w:left="567" w:right="322" w:firstLine="567"/>
        <w:rPr>
          <w:rFonts w:ascii="Segoe UI" w:hAnsi="Segoe UI" w:cs="Segoe UI"/>
          <w:sz w:val="22"/>
          <w:szCs w:val="22"/>
        </w:rPr>
      </w:pPr>
      <w:r>
        <w:rPr>
          <w:rFonts w:ascii="Segoe UI" w:hAnsi="Segoe UI" w:cs="Segoe UI"/>
          <w:sz w:val="22"/>
          <w:szCs w:val="22"/>
        </w:rPr>
        <w:t xml:space="preserve">Kedua, satu kendala tetap bertahan. Kedudukan laporan intelijen sebagai sarana memperoleh bukti permulaan, bukan sebagai alat bukti di persidangan, tidak berubah. Persoalan ini tidak sederhana dan tidak seharusnya diselesaikan dengan memperluas kewenangan intelijen begitu saja, sebab pembatasan tersebut lahir dari kekhawatiran historis terhadap penyalahgunaan kewenangan intelijen yang berujung pada pelanggaran hak asasi manusia. Argumentasi tersebut dapat dipahami karena setiap penguatan kewenangan dalam perkara terorisme selalu berhadapan dengan risiko kriminalisasi berlebihan. Jalan tengah yang lebih dapat dipertanggungjawabkan adalah membatasi perluasan itu pada laporan intelijen kepolisian selaku penegak hukum, disertai pengujian keabsahan perolehannya di muka sidang, sehingga penguatan pembuktian tidak dibayar dengan pelemahan jaminan hak tersangka.</w:t>
      </w:r>
    </w:p>
    <w:p>
      <w:pPr>
        <w:pStyle w:val="IEEEParagraph"/>
        <w:ind w:left="567" w:right="322" w:firstLine="567"/>
        <w:rPr>
          <w:rFonts w:ascii="Segoe UI" w:hAnsi="Segoe UI" w:cs="Segoe UI"/>
          <w:sz w:val="22"/>
          <w:szCs w:val="22"/>
        </w:rPr>
      </w:pPr>
      <w:r>
        <w:rPr>
          <w:rFonts w:ascii="Segoe UI" w:hAnsi="Segoe UI" w:cs="Segoe UI"/>
          <w:sz w:val="22"/>
          <w:szCs w:val="22"/>
        </w:rPr>
        <w:t xml:space="preserve">Ketiga, muncul persoalan baru yang belum terjangkau rumusan awal penelitian, yaitu harmonisasi hukum acara. Undang-Undang Nomor 20 Tahun 2025 telah mencabut Undang-Undang Nomor 8 Tahun 1981 dan berlaku sejak 2 Januari 2026, sementara ketentuan acara dalam undang-undang terorisme berkedudukan sebagai </w:t>
      </w:r>
      <w:r>
        <w:rPr>
          <w:rFonts w:ascii="Segoe UI" w:hAnsi="Segoe UI" w:cs="Segoe UI"/>
          <w:sz w:val="22"/>
          <w:szCs w:val="22"/>
          <w:i/>
          <w:iCs/>
        </w:rPr>
        <w:t xml:space="preserve">lex specialis</w:t>
      </w:r>
      <w:r>
        <w:rPr>
          <w:rFonts w:ascii="Segoe UI" w:hAnsi="Segoe UI" w:cs="Segoe UI"/>
          <w:sz w:val="22"/>
          <w:szCs w:val="22"/>
        </w:rPr>
        <w:t xml:space="preserve">. Sepanjang tidak diubah, ketentuan khusus tersebut tetap berlaku, tetapi rujukan silang terhadap pasal-pasal hukum acara umum menuntut penyesuaian agar tidak menimbulkan ketidakpastian pada tataran penyidikan, mengingat kepastian hukum menuntut agar rujukan norma dapat diketahui dan diramalkan secara jelas oleh para pihak (Marzuki, 2014). Perlu dicatat pula bahwa Undang-Undang Nomor 1 Tahun 2026 tentang Penyesuaian Pidana menghapus ancaman pidana minimum khusus dalam undang-undang di luar Kitab Undang-Undang Hukum Pidana, namun tindak pidana terorisme secara tegas dikecualikan, sehingga ancaman minimum khusus dalam undang-undang terorisme tetap dipertahankan. Pengecualian tersebut menegaskan bahwa pembentuk undang-undang tetap memandang terorisme sebagai kejahatan luar biasa yang menuntut kepastian pemidanaan yang tegas.</w:t>
      </w:r>
    </w:p>
    <w:p>
      <w:pPr>
        <w:pStyle w:val="IEEEParagraph"/>
        <w:ind w:left="567" w:right="322" w:firstLine="567"/>
        <w:rPr>
          <w:rFonts w:ascii="Segoe UI" w:hAnsi="Segoe UI" w:cs="Segoe UI"/>
          <w:sz w:val="22"/>
          <w:szCs w:val="22"/>
        </w:rPr>
      </w:pPr>
      <w:r>
        <w:rPr>
          <w:rFonts w:ascii="Segoe UI" w:hAnsi="Segoe UI" w:cs="Segoe UI"/>
          <w:sz w:val="22"/>
          <w:szCs w:val="22"/>
        </w:rPr>
        <w:t xml:space="preserve">Temuan tersebut memperlihatkan bahwa peta kendala penanggulangan terorisme telah bergeser. Hambatan yang dahulu bersifat normatif kini sebagian besar telah teratasi, sehingga persoalan yang tersisa lebih banyak bersifat implementatif, yakni menyangkut kapasitas penyidik, kualitas koordinasi antarlembaga, keberlanjutan program deradikalisasi, dan kemampuan menjangkau radikalisasi di ruang digital. Secara yuridis, konsekuensinya jelas: rekomendasi pembenahan tidak lagi tepat jika hanya diarahkan pada perubahan undang-undang, melainkan harus diarahkan pada penguatan pelaksanaan norma yang sudah tersedia.</w:t>
      </w:r>
    </w:p>
    <w:p w14:paraId="17E3A12B" w14:textId="5E31EBBF" w:rsidR="001E0508" w:rsidRPr="00EA7E75" w:rsidRDefault="00985560" w:rsidP="00985560">
      <w:pPr>
        <w:pStyle w:val="Heading3"/>
        <w:ind w:left="993" w:hanging="426"/>
      </w:pPr>
      <w:r>
        <w:t>KESIMPULAN</w:t>
      </w:r>
    </w:p>
    <w:p>
      <w:pPr>
        <w:pStyle w:val="IEEEParagraph"/>
        <w:ind w:left="567" w:right="322" w:firstLine="567"/>
        <w:rPr>
          <w:rFonts w:ascii="Segoe UI" w:hAnsi="Segoe UI" w:cs="Segoe UI"/>
          <w:sz w:val="22"/>
          <w:szCs w:val="22"/>
        </w:rPr>
      </w:pPr>
      <w:r>
        <w:rPr>
          <w:rFonts w:ascii="Segoe UI" w:hAnsi="Segoe UI" w:cs="Segoe UI"/>
          <w:sz w:val="22"/>
          <w:szCs w:val="22"/>
        </w:rPr>
        <w:t xml:space="preserve">Upaya penanggulangan tindak pidana terorisme oleh Kepolisian Negara Republik Indonesia terdiri atas upaya preventif dan upaya represif. Upaya preventif berupa penyelenggaraan sosialisasi di masyarakat mengenai bahaya dan ancaman bom, pendataan organisasi garis keras atau radikal yang mengarah pada ancaman teror, serta penggalangan unsur pendidikan, keagamaan, sosial, dan bidang lainnya untuk bersama-sama menanggulangi kejahatan terorisme, termasuk pelaksanaan deradikalisasi terhadap tersangka hingga mantan narapidana. Upaya represif berupa tindakan kepolisian dalam proses penyelidikan, penyidikan, penangkapan, dan penahanan yang dijalankan melalui Detasemen Khusus 88 Antiteror dengan koordinasi lintas lembaga. Kedua jalur tersebut bersifat saling melengkapi karena menyasar tahap yang berbeda dalam rantai radikalisasi, dan kombinasinya berkorelasi dengan bertahannya status nihil serangan teroris sepanjang 2023 sampai 2025.</w:t>
      </w:r>
    </w:p>
    <w:p>
      <w:pPr>
        <w:pStyle w:val="IEEEParagraph"/>
        <w:ind w:left="567" w:right="322" w:firstLine="567"/>
        <w:rPr>
          <w:rFonts w:ascii="Segoe UI" w:hAnsi="Segoe UI" w:cs="Segoe UI"/>
          <w:sz w:val="22"/>
          <w:szCs w:val="22"/>
        </w:rPr>
      </w:pPr>
      <w:r>
        <w:rPr>
          <w:rFonts w:ascii="Segoe UI" w:hAnsi="Segoe UI" w:cs="Segoe UI"/>
          <w:sz w:val="22"/>
          <w:szCs w:val="22"/>
        </w:rPr>
        <w:t xml:space="preserve">Kendala dalam penanggulangan tindak pidana terorisme mencakup keterbatasan masa penangkapan dan penahanan, belum dipidananya kegiatan pendahuluan, terbatasnya kedudukan laporan intelijen yang hanya dapat dipakai sebagai sarana memperoleh bukti permulaan, serta belum kuatnya kedudukan deradikalisasi. Pengujian terhadap hukum yang berlaku memperlihatkan bahwa tiga kendala pertama dan keempat telah dijawab secara normatif oleh Undang-Undang Nomor 5 Tahun 2018 melalui perpanjangan masa penangkapan dan penahanan, kriminalisasi keanggotaan, perekrutan, pelatihan, dan hasutan, serta pengaturan pencegahan yang mencakup deradikalisasi. Kendala mengenai kedudukan laporan intelijen tetap bertahan, dan berlakunya Undang-Undang Nomor 20 Tahun 2025 menambah kebutuhan harmonisasi hukum acara. Dengan demikian, hambatan penanggulangan terorisme saat ini lebih bersifat implementatif daripada normatif.</w:t>
      </w:r>
    </w:p>
    <w:p>
      <w:pPr>
        <w:pStyle w:val="IEEEParagraph"/>
        <w:ind w:left="567" w:right="322" w:firstLine="567"/>
        <w:rPr>
          <w:rFonts w:ascii="Segoe UI" w:hAnsi="Segoe UI" w:cs="Segoe UI"/>
          <w:sz w:val="22"/>
          <w:szCs w:val="22"/>
        </w:rPr>
      </w:pPr>
      <w:r>
        <w:rPr>
          <w:rFonts w:ascii="Segoe UI" w:hAnsi="Segoe UI" w:cs="Segoe UI"/>
          <w:sz w:val="22"/>
          <w:szCs w:val="22"/>
        </w:rPr>
        <w:t xml:space="preserve">Berdasarkan temuan tersebut, penulis menyarankan agar pembenahan diarahkan pada penguatan pelaksanaan norma yang telah tersedia, yaitu peningkatan kapasitas penyidik dalam pembuktian delik persiapan dan delik hasutan digital, penguatan mekanisme koordinasi antarlembaga, serta keberlanjutan program deradikalisasi hingga menjangkau simpatisan di akar rumput. Terhadap kedudukan laporan intelijen, perubahan norma tetap diperlukan, tetapi sebaiknya dibatasi pada laporan intelijen kepolisian selaku penegak hukum disertai pengujian keabsahan perolehannya di muka sidang agar penguatan pembuktian tidak mengorbankan jaminan hak asasi manusia. Selanjutnya, ketentuan acara khusus dalam undang-undang terorisme perlu diharmonisasikan dengan Undang-Undang Nomor 20 Tahun 2025 agar tidak menimbulkan ketidakpastian pada tahap penyidikan. Bagi pengembangan ilmu, penelitian lanjutan disarankan menguji penerapan Pasal 12A, Pasal 12B, dan Pasal 13A dalam putusan pengadilan untuk menilai apakah kriminalisasi kegiatan pendahuluan telah berjalan sebagaimana dimaksud pembentuk undang-undang.</w:t>
      </w:r>
    </w:p>
    <w:p>
      <w:pPr>
        <w:pStyle w:val="IEEEParagraph"/>
        <w:ind w:left="567" w:right="322" w:firstLine="567"/>
        <w:rPr>
          <w:rFonts w:ascii="Segoe UI" w:hAnsi="Segoe UI" w:cs="Segoe UI"/>
          <w:sz w:val="22"/>
          <w:szCs w:val="22"/>
        </w:rPr>
      </w:pPr>
      <w:r>
        <w:rPr>
          <w:rFonts w:ascii="Segoe UI" w:hAnsi="Segoe UI" w:cs="Segoe UI"/>
          <w:sz w:val="22"/>
          <w:szCs w:val="22"/>
        </w:rPr>
        <w:t xml:space="preserve">Akhirnya, perlu ditegaskan bahwa penguatan instrumen hukum penanggulangan terorisme tidak boleh dibaca sebagai pemberian kewenangan tanpa batas. Setiap perluasan kewenangan penangkapan, penahanan, maupun pembuktian harus disertai mekanisme pengawasan yang memadai, sebab kejahatan luar biasa tidak menghapus kewajiban negara menjunjung tinggi hak asasi manusia. Keseimbangan itulah yang menentukan apakah keberhasilan penanggulangan terorisme dapat dipertahankan dalam jangka panjang.</w:t>
      </w:r>
    </w:p>
    <w:p w14:paraId="310B877E" w14:textId="77777777" w:rsidR="001E0508" w:rsidRPr="00EA7E75" w:rsidRDefault="001E0508" w:rsidP="001E0508">
      <w:pPr>
        <w:pStyle w:val="IEEEHeading1"/>
        <w:numPr>
          <w:ilvl w:val="0"/>
          <w:numId w:val="0"/>
        </w:numPr>
        <w:ind w:firstLine="567"/>
        <w:jc w:val="both"/>
        <w:rPr>
          <w:rFonts w:ascii="Segoe UI" w:hAnsi="Segoe UI" w:cs="Segoe UI"/>
          <w:b/>
          <w:bCs/>
          <w:sz w:val="24"/>
          <w:lang w:val="sv-SE"/>
        </w:rPr>
      </w:pPr>
      <w:r>
        <w:rPr>
          <w:rFonts w:ascii="Segoe UI" w:hAnsi="Segoe UI" w:cs="Segoe UI"/>
          <w:b/>
          <w:bCs/>
          <w:sz w:val="24"/>
          <w:lang w:val="sv-SE"/>
        </w:rPr>
        <w:t>Referensi</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Abimanyu, B. (2015). </w:t>
      </w:r>
      <w:r>
        <w:rPr>
          <w:rFonts w:cs="Segoe UI"/>
          <w:sz w:val="20"/>
          <w:szCs w:val="20"/>
          <w:i/>
          <w:iCs/>
        </w:rPr>
        <w:t xml:space="preserve">Teror bom di Indonesia</w:t>
      </w:r>
      <w:r>
        <w:rPr>
          <w:rFonts w:cs="Segoe UI"/>
          <w:sz w:val="20"/>
          <w:szCs w:val="20"/>
        </w:rPr>
        <w:t xml:space="preserve">. Grafindo.</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Ali, M. (2012). </w:t>
      </w:r>
      <w:r>
        <w:rPr>
          <w:rFonts w:cs="Segoe UI"/>
          <w:sz w:val="20"/>
          <w:szCs w:val="20"/>
          <w:i/>
          <w:iCs/>
        </w:rPr>
        <w:t xml:space="preserve">Hukum pidana terorisme: Teori dan praktik</w:t>
      </w:r>
      <w:r>
        <w:rPr>
          <w:rFonts w:cs="Segoe UI"/>
          <w:sz w:val="20"/>
          <w:szCs w:val="20"/>
        </w:rPr>
        <w:t xml:space="preserve">. Gramata Publishing.</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Arief, B. N. (2012). </w:t>
      </w:r>
      <w:r>
        <w:rPr>
          <w:rFonts w:cs="Segoe UI"/>
          <w:sz w:val="20"/>
          <w:szCs w:val="20"/>
          <w:i/>
          <w:iCs/>
        </w:rPr>
        <w:t xml:space="preserve">Bunga rampai kebijakan hukum pidana</w:t>
      </w:r>
      <w:r>
        <w:rPr>
          <w:rFonts w:cs="Segoe UI"/>
          <w:sz w:val="20"/>
          <w:szCs w:val="20"/>
        </w:rPr>
        <w:t xml:space="preserve">. Citra Aditya Bakti.</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Golose, P. R. (2009). </w:t>
      </w:r>
      <w:r>
        <w:rPr>
          <w:rFonts w:cs="Segoe UI"/>
          <w:sz w:val="20"/>
          <w:szCs w:val="20"/>
          <w:i/>
          <w:iCs/>
        </w:rPr>
        <w:t xml:space="preserve">Deradikalisasi terorisme: Humanis, soul approach, dan menyentuh akar rumput</w:t>
      </w:r>
      <w:r>
        <w:rPr>
          <w:rFonts w:cs="Segoe UI"/>
          <w:sz w:val="20"/>
          <w:szCs w:val="20"/>
        </w:rPr>
        <w:t xml:space="preserve">. Yayasan Pengembangan Ilmu Kepolisian.</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Hardiman, F. B. (2013). </w:t>
      </w:r>
      <w:r>
        <w:rPr>
          <w:rFonts w:cs="Segoe UI"/>
          <w:sz w:val="20"/>
          <w:szCs w:val="20"/>
          <w:i/>
          <w:iCs/>
        </w:rPr>
        <w:t xml:space="preserve">Terorisme, definisi, aksi, dan regulasi</w:t>
      </w:r>
      <w:r>
        <w:rPr>
          <w:rFonts w:cs="Segoe UI"/>
          <w:sz w:val="20"/>
          <w:szCs w:val="20"/>
        </w:rPr>
        <w:t xml:space="preserve">. Imparsial.</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Marzuki, P. M. (2014). </w:t>
      </w:r>
      <w:r>
        <w:rPr>
          <w:rFonts w:cs="Segoe UI"/>
          <w:sz w:val="20"/>
          <w:szCs w:val="20"/>
          <w:i/>
          <w:iCs/>
        </w:rPr>
        <w:t xml:space="preserve">Pengantar ilmu hukum</w:t>
      </w:r>
      <w:r>
        <w:rPr>
          <w:rFonts w:cs="Segoe UI"/>
          <w:sz w:val="20"/>
          <w:szCs w:val="20"/>
        </w:rPr>
        <w:t xml:space="preserve">. Kencana Prenada Media Group.</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Muladi, &amp; Arief, B. N. (2012). </w:t>
      </w:r>
      <w:r>
        <w:rPr>
          <w:rFonts w:cs="Segoe UI"/>
          <w:sz w:val="20"/>
          <w:szCs w:val="20"/>
          <w:i/>
          <w:iCs/>
        </w:rPr>
        <w:t xml:space="preserve">Teori dan kebijakan pidana</w:t>
      </w:r>
      <w:r>
        <w:rPr>
          <w:rFonts w:cs="Segoe UI"/>
          <w:sz w:val="20"/>
          <w:szCs w:val="20"/>
        </w:rPr>
        <w:t xml:space="preserve">. Alumni.</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Parthiana, I W. (2013). </w:t>
      </w:r>
      <w:r>
        <w:rPr>
          <w:rFonts w:cs="Segoe UI"/>
          <w:sz w:val="20"/>
          <w:szCs w:val="20"/>
          <w:i/>
          <w:iCs/>
        </w:rPr>
        <w:t xml:space="preserve">Pengantar hukum internasional</w:t>
      </w:r>
      <w:r>
        <w:rPr>
          <w:rFonts w:cs="Segoe UI"/>
          <w:sz w:val="20"/>
          <w:szCs w:val="20"/>
        </w:rPr>
        <w:t xml:space="preserve">. Mandar Maju.</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Polri. (2025, 30 Desember). </w:t>
      </w:r>
      <w:r>
        <w:rPr>
          <w:rFonts w:cs="Segoe UI"/>
          <w:sz w:val="20"/>
          <w:szCs w:val="20"/>
          <w:i/>
          <w:iCs/>
        </w:rPr>
        <w:t xml:space="preserve">Rilis akhir tahun 2025: Densus 88 Antiteror Polri</w:t>
      </w:r>
      <w:r>
        <w:rPr>
          <w:rFonts w:cs="Segoe UI"/>
          <w:sz w:val="20"/>
          <w:szCs w:val="20"/>
        </w:rPr>
        <w:t xml:space="preserve">. Kepolisian Negara Republik Indonesia. https://eppid.polri.go.id/news/detail/4730</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Rahardjo, S. (2011). </w:t>
      </w:r>
      <w:r>
        <w:rPr>
          <w:rFonts w:cs="Segoe UI"/>
          <w:sz w:val="20"/>
          <w:szCs w:val="20"/>
          <w:i/>
          <w:iCs/>
        </w:rPr>
        <w:t xml:space="preserve">Ilmu hukum</w:t>
      </w:r>
      <w:r>
        <w:rPr>
          <w:rFonts w:cs="Segoe UI"/>
          <w:sz w:val="20"/>
          <w:szCs w:val="20"/>
        </w:rPr>
        <w:t xml:space="preserve">. Alumni.</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Reksodiputro, M. (2014). </w:t>
      </w:r>
      <w:r>
        <w:rPr>
          <w:rFonts w:cs="Segoe UI"/>
          <w:sz w:val="20"/>
          <w:szCs w:val="20"/>
          <w:i/>
          <w:iCs/>
        </w:rPr>
        <w:t xml:space="preserve">Sistem peradilan pidana: Peran penegak hukum melawan kejahatan</w:t>
      </w:r>
      <w:r>
        <w:rPr>
          <w:rFonts w:cs="Segoe UI"/>
          <w:sz w:val="20"/>
          <w:szCs w:val="20"/>
        </w:rPr>
        <w:t xml:space="preserve">. Pusat Pelayanan Keadilan dan Pengabdian Hukum Universitas Indonesia.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Sekretariat Negara Republik Indonesia. (2018). </w:t>
      </w:r>
      <w:r>
        <w:rPr>
          <w:rFonts w:cs="Segoe UI"/>
          <w:sz w:val="20"/>
          <w:szCs w:val="20"/>
          <w:i/>
          <w:iCs/>
        </w:rPr>
        <w:t xml:space="preserve">Pemerintah terbitkan Undang-Undang Nomor 5 Tahun 2018 tentang Pemberantasan Tindak Pidana Terorisme</w:t>
      </w:r>
      <w:r>
        <w:rPr>
          <w:rFonts w:cs="Segoe UI"/>
          <w:sz w:val="20"/>
          <w:szCs w:val="20"/>
        </w:rPr>
        <w:t xml:space="preserve">. https://setneg.go.id/baca/index/pemerintah_terbitkan_undang_undang_nomor_5_tahun_2018_tentang_pemberantasan_tindak_pidana_terorisme</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Wahid, A., dkk. (2014). </w:t>
      </w:r>
      <w:r>
        <w:rPr>
          <w:rFonts w:cs="Segoe UI"/>
          <w:sz w:val="20"/>
          <w:szCs w:val="20"/>
          <w:i/>
          <w:iCs/>
        </w:rPr>
        <w:t xml:space="preserve">Kejahatan terorisme</w:t>
      </w:r>
      <w:r>
        <w:rPr>
          <w:rFonts w:cs="Segoe UI"/>
          <w:sz w:val="20"/>
          <w:szCs w:val="20"/>
        </w:rPr>
        <w:t xml:space="preserve">. Rineka Cipta.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Keputusan Presiden Republik Indonesia Nomor 63 Tahun 2004 tentang Pengamanan Objek Vital Nasional.</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Peraturan Kepala Kepolisian Negara Republik Indonesia Nomor 13 Tahun 2017 tentang Pemberian Bantuan Pengamanan pada Objek Vital Nasional dan Objek Tertentu.</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Dasar Negara Republik Indonesia Tahun 1945.</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8 Tahun 1981 tentang Hukum Acara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2 Tahun 2002 tentang Kepolisian Negara Republik Indonesia.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15 Tahun 2003 tentang Penetapan Peraturan Pemerintah Pengganti Undang-Undang Nomor 1 Tahun 2002 tentang Pemberantasan Tindak Pidana Terorisme Menjadi Undang-Undang.</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5 Tahun 2018 tentang Perubahan atas Undang-Undang Nomor 15 Tahun 2003 tentang Penetapan Peraturan Pemerintah Pengganti Undang-Undang Nomor 1 Tahun 2002 tentang Pemberantasan Tindak Pidana Terorisme Menjadi Undang-Undang.</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 Tahun 2023 tentang Kitab Undang-Undang Hukum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20 Tahun 2025 tentang Kitab Undang-Undang Hukum Acara Pidana.</w:t>
      </w:r>
    </w:p>
    <w:p>
      <w:pPr>
        <w:widowControl w:val="0"/>
        <w:autoSpaceDE w:val="0"/>
        <w:autoSpaceDN w:val="0"/>
        <w:adjustRightInd w:val="0"/>
        <w:spacing w:after="0" w:line="240" w:lineRule="auto"/>
        <w:ind w:left="1418" w:right="646" w:hanging="851"/>
        <w:contextualSpacing/>
        <w:jc w:val="left"/>
        <w:rPr>
          <w:rFonts w:cs="Segoe UI"/>
          <w:sz w:val="20"/>
          <w:szCs w:val="20"/>
        </w:rPr>
      </w:pPr>
      <w:r>
        <w:rPr>
          <w:rFonts w:cs="Segoe UI"/>
          <w:sz w:val="20"/>
          <w:szCs w:val="20"/>
        </w:rPr>
        <w:t xml:space="preserve">Undang-Undang Republik Indonesia Nomor 1 Tahun 2026 tentang Penyesuaian Pidana.</w:t>
      </w:r>
    </w:p>
    <w:p w14:paraId="5E84CDA2" w14:textId="24799592" w:rsidR="003A4408" w:rsidRPr="003A4408" w:rsidRDefault="003A4408" w:rsidP="003A4408">
      <w:pPr>
        <w:spacing w:line="240" w:lineRule="auto"/>
        <w:ind w:left="1418" w:right="645" w:hanging="851"/>
        <w:rPr>
          <w:rFonts w:cs="Segoe UI"/>
        </w:rPr>
      </w:pPr>
      <w:r>
        <w:rPr>
          <w:rFonts w:cs="Segoe UI"/>
        </w:rPr>
        <w:fldChar w:fldCharType="end"/>
      </w:r>
    </w:p>
    <w:sectPr w:rsidR="003A4408" w:rsidRPr="003A4408" w:rsidSect="001E0508">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F5A0F" w14:textId="77777777" w:rsidR="007B39CF" w:rsidRDefault="007B39CF" w:rsidP="009B0AF6">
      <w:pPr>
        <w:spacing w:after="0" w:line="240" w:lineRule="auto"/>
      </w:pPr>
      <w:r>
        <w:separator/>
      </w:r>
    </w:p>
  </w:endnote>
  <w:endnote w:type="continuationSeparator" w:id="0">
    <w:p w14:paraId="018179EC" w14:textId="77777777" w:rsidR="007B39CF" w:rsidRDefault="007B39CF" w:rsidP="009B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5768448"/>
      <w:docPartObj>
        <w:docPartGallery w:val="Page Numbers (Bottom of Page)"/>
        <w:docPartUnique/>
      </w:docPartObj>
    </w:sdtPr>
    <w:sdtEndPr>
      <w:rPr>
        <w:rFonts w:cs="Segoe UI"/>
        <w:noProof/>
        <w:sz w:val="20"/>
        <w:szCs w:val="20"/>
      </w:rPr>
    </w:sdtEndPr>
    <w:sdtContent>
      <w:p w14:paraId="377CDAE4" w14:textId="2CC26036" w:rsidR="001538AE" w:rsidRPr="00950641" w:rsidRDefault="0035390E" w:rsidP="001538AE">
        <w:pPr>
          <w:pStyle w:val="Footer"/>
          <w:tabs>
            <w:tab w:val="clear" w:pos="4513"/>
            <w:tab w:val="center" w:pos="709"/>
          </w:tabs>
          <w:rPr>
            <w:rFonts w:cs="Segoe UI"/>
            <w:noProof/>
            <w:sz w:val="20"/>
            <w:szCs w:val="20"/>
            <w:lang w:val="fi-FI"/>
          </w:rPr>
        </w:pPr>
        <w:r>
          <w:rPr>
            <w:rFonts w:cs="Segoe UI"/>
            <w:noProof/>
            <w:sz w:val="20"/>
            <w:szCs w:val="20"/>
            <w:lang w:val="en-IN" w:eastAsia="en-IN"/>
          </w:rPr>
          <mc:AlternateContent>
            <mc:Choice Requires="wps">
              <w:drawing>
                <wp:anchor distT="0" distB="0" distL="114300" distR="114300" simplePos="0" relativeHeight="251654144" behindDoc="0" locked="0" layoutInCell="1" allowOverlap="1" wp14:anchorId="0F8123BC" wp14:editId="6844A827">
                  <wp:simplePos x="0" y="0"/>
                  <wp:positionH relativeFrom="column">
                    <wp:posOffset>9525</wp:posOffset>
                  </wp:positionH>
                  <wp:positionV relativeFrom="paragraph">
                    <wp:posOffset>-5080</wp:posOffset>
                  </wp:positionV>
                  <wp:extent cx="5724525" cy="0"/>
                  <wp:effectExtent l="0" t="0" r="28575" b="19050"/>
                  <wp:wrapNone/>
                  <wp:docPr id="11" name="Straight Connector 11"/>
                  <wp:cNvGraphicFramePr/>
                  <a:graphic xmlns:a="http://schemas.openxmlformats.org/drawingml/2006/main">
                    <a:graphicData uri="http://schemas.microsoft.com/office/word/2010/wordprocessingShape">
                      <wps:wsp>
                        <wps:cNvCnPr/>
                        <wps:spPr>
                          <a:xfrm>
                            <a:off x="0" y="0"/>
                            <a:ext cx="5724525"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8E5027" id="Straight Connector 11"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5pt,-.4pt" to="451.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" strokecolor="black [3200]" strokeweight="1pt">
                  <v:stroke joinstyle="miter"/>
                </v:line>
              </w:pict>
            </mc:Fallback>
          </mc:AlternateContent>
        </w:r>
        <w:r w:rsidR="00471F0C" w:rsidRPr="003243EB">
          <w:rPr>
            <w:rFonts w:cs="Segoe UI"/>
            <w:sz w:val="20"/>
            <w:szCs w:val="20"/>
          </w:rPr>
          <w:fldChar w:fldCharType="begin"/>
        </w:r>
        <w:r w:rsidR="00471F0C" w:rsidRPr="003243EB">
          <w:rPr>
            <w:rFonts w:cs="Segoe UI"/>
            <w:sz w:val="20"/>
            <w:szCs w:val="20"/>
          </w:rPr>
          <w:instrText xml:space="preserve"> PAGE   \* MERGEFORMAT </w:instrText>
        </w:r>
        <w:r w:rsidR="00471F0C" w:rsidRPr="003243EB">
          <w:rPr>
            <w:rFonts w:cs="Segoe UI"/>
            <w:sz w:val="20"/>
            <w:szCs w:val="20"/>
          </w:rPr>
          <w:fldChar w:fldCharType="separate"/>
        </w:r>
        <w:r w:rsidR="002D6D99">
          <w:rPr>
            <w:rFonts w:cs="Segoe UI"/>
            <w:noProof/>
            <w:sz w:val="20"/>
            <w:szCs w:val="20"/>
          </w:rPr>
          <w:t>1</w:t>
        </w:r>
        <w:r w:rsidR="00471F0C" w:rsidRPr="003243EB">
          <w:rPr>
            <w:rFonts w:cs="Segoe UI"/>
            <w:noProof/>
            <w:sz w:val="20"/>
            <w:szCs w:val="20"/>
          </w:rPr>
          <w:fldChar w:fldCharType="end"/>
        </w:r>
        <w:r w:rsidR="00471F0C" w:rsidRPr="003243EB">
          <w:rPr>
            <w:rFonts w:cs="Segoe UI"/>
            <w:noProof/>
            <w:sz w:val="20"/>
            <w:szCs w:val="20"/>
          </w:rPr>
          <w:tab/>
        </w:r>
        <w:r w:rsidR="00471F0C" w:rsidRPr="003243EB">
          <w:rPr>
            <w:rFonts w:cs="Segoe UI"/>
            <w:noProof/>
            <w:sz w:val="20"/>
            <w:szCs w:val="20"/>
          </w:rPr>
          <w:tab/>
        </w:r>
        <w:r w:rsidR="001E0508" w:rsidRPr="00950641">
          <w:rPr>
            <w:rFonts w:cs="Segoe UI"/>
            <w:noProof/>
            <w:sz w:val="18"/>
            <w:szCs w:val="18"/>
            <w:lang w:val="fi-FI"/>
          </w:rPr>
          <w:t>Ridwan</w:t>
        </w:r>
      </w:p>
      <w:p w14:paraId="0CF919DE" w14:textId="5F133840" w:rsidR="00471F0C" w:rsidRPr="003243EB" w:rsidRDefault="001538AE" w:rsidP="001538AE">
        <w:pPr>
          <w:pStyle w:val="Footer"/>
          <w:tabs>
            <w:tab w:val="clear" w:pos="4513"/>
            <w:tab w:val="center" w:pos="709"/>
          </w:tabs>
          <w:rPr>
            <w:rFonts w:cs="Segoe UI"/>
            <w:sz w:val="20"/>
            <w:szCs w:val="20"/>
          </w:rPr>
        </w:pPr>
        <w:r w:rsidRPr="00950641">
          <w:rPr>
            <w:rFonts w:cs="Segoe UI"/>
            <w:noProof/>
            <w:sz w:val="20"/>
            <w:szCs w:val="20"/>
            <w:lang w:val="fi-FI"/>
          </w:rPr>
          <w:tab/>
        </w:r>
        <w:r w:rsidRPr="00950641">
          <w:rPr>
            <w:rFonts w:cs="Segoe UI"/>
            <w:noProof/>
            <w:sz w:val="20"/>
            <w:szCs w:val="20"/>
            <w:lang w:val="fi-FI"/>
          </w:rPr>
          <w:tab/>
        </w:r>
        <w:r w:rsidR="00613274" w:rsidRPr="00950641">
          <w:rPr>
            <w:rFonts w:cs="Segoe UI"/>
            <w:noProof/>
            <w:sz w:val="20"/>
            <w:szCs w:val="20"/>
            <w:lang w:val="fi-FI"/>
          </w:rPr>
          <w:t xml:space="preserve">   </w:t>
        </w:r>
        <w:r w:rsidR="00BF597D" w:rsidRPr="003243EB">
          <w:rPr>
            <w:rFonts w:cs="Segoe UI"/>
            <w:noProof/>
            <w:sz w:val="20"/>
            <w:szCs w:val="20"/>
          </w:rPr>
          <w:t xml:space="preserve">Vol. </w:t>
        </w:r>
        <w:r w:rsidR="001E0508">
          <w:rPr>
            <w:rFonts w:cs="Segoe UI"/>
            <w:noProof/>
            <w:sz w:val="20"/>
            <w:szCs w:val="20"/>
            <w:lang w:val="en-US"/>
          </w:rPr>
          <w:t>XX</w:t>
        </w:r>
        <w:r w:rsidR="00BF597D" w:rsidRPr="003243EB">
          <w:rPr>
            <w:rFonts w:cs="Segoe UI"/>
            <w:noProof/>
            <w:sz w:val="20"/>
            <w:szCs w:val="20"/>
          </w:rPr>
          <w:t xml:space="preserve"> No. </w:t>
        </w:r>
        <w:r w:rsidR="001E0508">
          <w:rPr>
            <w:rFonts w:cs="Segoe UI"/>
            <w:noProof/>
            <w:sz w:val="20"/>
            <w:szCs w:val="20"/>
            <w:lang w:val="en-US"/>
          </w:rPr>
          <w:t>XX</w:t>
        </w:r>
        <w:r w:rsidR="00BF597D" w:rsidRPr="003243EB">
          <w:rPr>
            <w:rFonts w:cs="Segoe UI"/>
            <w:noProof/>
            <w:sz w:val="20"/>
            <w:szCs w:val="20"/>
          </w:rPr>
          <w:t xml:space="preserve"> </w:t>
        </w:r>
        <w:r w:rsidR="001E0508">
          <w:rPr>
            <w:rFonts w:cs="Segoe UI"/>
            <w:noProof/>
            <w:sz w:val="20"/>
            <w:szCs w:val="20"/>
            <w:lang w:val="en-US"/>
          </w:rPr>
          <w:t>Month</w:t>
        </w:r>
        <w:r w:rsidR="00BF597D" w:rsidRPr="003243EB">
          <w:rPr>
            <w:rFonts w:cs="Segoe UI"/>
            <w:noProof/>
            <w:sz w:val="20"/>
            <w:szCs w:val="20"/>
          </w:rPr>
          <w:t xml:space="preserve"> </w:t>
        </w:r>
        <w:r w:rsidR="001E0508">
          <w:rPr>
            <w:rFonts w:cs="Segoe UI"/>
            <w:noProof/>
            <w:sz w:val="20"/>
            <w:szCs w:val="20"/>
            <w:lang w:val="en-US"/>
          </w:rPr>
          <w:t>XXXX</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F0FEE" w14:textId="77777777" w:rsidR="007B39CF" w:rsidRDefault="007B39CF" w:rsidP="009B0AF6">
      <w:pPr>
        <w:spacing w:after="0" w:line="240" w:lineRule="auto"/>
      </w:pPr>
      <w:r>
        <w:separator/>
      </w:r>
    </w:p>
  </w:footnote>
  <w:footnote w:type="continuationSeparator" w:id="0">
    <w:p w14:paraId="15167E39" w14:textId="77777777" w:rsidR="007B39CF" w:rsidRDefault="007B39CF" w:rsidP="009B0A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5C4B0" w14:textId="7C2A82EB" w:rsidR="00BF597D" w:rsidRPr="00BF597D" w:rsidRDefault="00A36B0A" w:rsidP="00471F0C">
    <w:pPr>
      <w:pStyle w:val="Header"/>
      <w:tabs>
        <w:tab w:val="clear" w:pos="4513"/>
        <w:tab w:val="center" w:pos="4253"/>
      </w:tabs>
      <w:rPr>
        <w:rFonts w:cs="Segoe UI"/>
        <w:sz w:val="20"/>
      </w:rPr>
    </w:pPr>
    <w:r>
      <w:rPr>
        <w:rFonts w:eastAsia="Times New Roman" w:cs="Segoe UI"/>
        <w:noProof/>
        <w:lang w:val="en-IN" w:eastAsia="en-IN"/>
      </w:rPr>
      <mc:AlternateContent>
        <mc:Choice Requires="wps">
          <w:drawing>
            <wp:anchor distT="0" distB="0" distL="114300" distR="114300" simplePos="0" relativeHeight="251662336" behindDoc="0" locked="0" layoutInCell="1" allowOverlap="1" wp14:anchorId="196F7879" wp14:editId="3523F8C3">
              <wp:simplePos x="0" y="0"/>
              <wp:positionH relativeFrom="column">
                <wp:posOffset>-731520</wp:posOffset>
              </wp:positionH>
              <wp:positionV relativeFrom="paragraph">
                <wp:posOffset>-450215</wp:posOffset>
              </wp:positionV>
              <wp:extent cx="403860" cy="1173480"/>
              <wp:effectExtent l="0" t="0" r="0" b="7620"/>
              <wp:wrapNone/>
              <wp:docPr id="6" name="Rectangle 6"/>
              <wp:cNvGraphicFramePr/>
              <a:graphic xmlns:a="http://schemas.openxmlformats.org/drawingml/2006/main">
                <a:graphicData uri="http://schemas.microsoft.com/office/word/2010/wordprocessingShape">
                  <wps:wsp>
                    <wps:cNvSpPr/>
                    <wps:spPr>
                      <a:xfrm>
                        <a:off x="0" y="0"/>
                        <a:ext cx="403860" cy="1173480"/>
                      </a:xfrm>
                      <a:prstGeom prst="rect">
                        <a:avLst/>
                      </a:prstGeom>
                      <a:solidFill>
                        <a:srgbClr val="008E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386E3" id="Rectangle 6" o:spid="_x0000_s1026" style="position:absolute;margin-left:-57.6pt;margin-top:-35.45pt;width:31.8pt;height:92.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" fillcolor="#008ed2" stroked="f" strokeweight="1pt"/>
          </w:pict>
        </mc:Fallback>
      </mc:AlternateContent>
    </w:r>
    <w:r>
      <w:rPr>
        <w:rFonts w:eastAsia="Times New Roman" w:cs="Segoe UI"/>
        <w:noProof/>
        <w:lang w:val="en-IN" w:eastAsia="en-IN"/>
      </w:rPr>
      <w:drawing>
        <wp:anchor distT="0" distB="0" distL="114300" distR="114300" simplePos="0" relativeHeight="251658240" behindDoc="0" locked="0" layoutInCell="1" allowOverlap="1" wp14:anchorId="5E29606B" wp14:editId="35A92602">
          <wp:simplePos x="0" y="0"/>
          <wp:positionH relativeFrom="column">
            <wp:posOffset>-731520</wp:posOffset>
          </wp:positionH>
          <wp:positionV relativeFrom="paragraph">
            <wp:posOffset>517525</wp:posOffset>
          </wp:positionV>
          <wp:extent cx="403860" cy="1722120"/>
          <wp:effectExtent l="0" t="0" r="0" b="0"/>
          <wp:wrapNone/>
          <wp:docPr id="26973272" name="Picture 26973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860" cy="1722120"/>
                  </a:xfrm>
                  <a:prstGeom prst="rect">
                    <a:avLst/>
                  </a:prstGeom>
                  <a:noFill/>
                  <a:ln>
                    <a:noFill/>
                  </a:ln>
                </pic:spPr>
              </pic:pic>
            </a:graphicData>
          </a:graphic>
        </wp:anchor>
      </w:drawing>
    </w:r>
    <w:r w:rsidR="006F20C0">
      <w:rPr>
        <w:rFonts w:cs="Segoe UI"/>
        <w:sz w:val="20"/>
      </w:rPr>
      <w:t>Prosiding Seminar Nasional Humanesia</w:t>
    </w:r>
    <w:r w:rsidR="00E109A4">
      <w:rPr>
        <w:rFonts w:cs="Segoe UI"/>
        <w:sz w:val="20"/>
      </w:rPr>
      <w:t xml:space="preserve"> Pascasarjana</w:t>
    </w:r>
    <w:r w:rsidR="001E0508">
      <w:rPr>
        <w:rFonts w:cs="Segoe UI"/>
        <w:sz w:val="20"/>
      </w:rPr>
      <w:tab/>
    </w:r>
    <w:r w:rsidR="00241DE7" w:rsidRPr="00BF597D">
      <w:rPr>
        <w:rFonts w:cs="Segoe UI"/>
        <w:sz w:val="20"/>
      </w:rPr>
      <w:t xml:space="preserve">E-ISSN: </w:t>
    </w:r>
    <w:r w:rsidR="006F20C0">
      <w:rPr>
        <w:rFonts w:cs="Segoe UI"/>
        <w:sz w:val="20"/>
      </w:rPr>
      <w:t>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257B" w14:textId="40673AD6" w:rsidR="00E109A4" w:rsidRDefault="00E109A4">
    <w:pPr>
      <w:pStyle w:val="Header"/>
    </w:pPr>
    <w:r>
      <w:rPr>
        <w:rFonts w:cs="Segoe UI"/>
        <w:sz w:val="20"/>
      </w:rPr>
      <w:t>Prosiding Seminar Nasional Humanesia Pascasarjana</w:t>
    </w:r>
    <w:r>
      <w:rPr>
        <w:rFonts w:cs="Segoe UI"/>
        <w:sz w:val="20"/>
      </w:rPr>
      <w:tab/>
    </w:r>
    <w:r w:rsidRPr="00BF597D">
      <w:rPr>
        <w:rFonts w:cs="Segoe UI"/>
        <w:sz w:val="20"/>
      </w:rPr>
      <w:t xml:space="preserve">E-ISSN: </w:t>
    </w:r>
    <w:r>
      <w:rPr>
        <w:rFonts w:cs="Segoe UI"/>
        <w:sz w:val="20"/>
      </w:rPr>
      <w:t>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129C5206"/>
    <w:lvl w:ilvl="0">
      <w:start w:val="1"/>
      <w:numFmt w:val="upperRoman"/>
      <w:pStyle w:val="IEEEHeading1"/>
      <w:lvlText w:val="%1."/>
      <w:lvlJc w:val="left"/>
      <w:pPr>
        <w:tabs>
          <w:tab w:val="num" w:pos="1008"/>
        </w:tabs>
        <w:ind w:left="100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1008"/>
        </w:tabs>
        <w:ind w:left="1008" w:hanging="288"/>
      </w:pPr>
      <w:rPr>
        <w:rFonts w:ascii="Times New Roman" w:hAnsi="Times New Roman" w:hint="default"/>
        <w:b w:val="0"/>
        <w:i w:val="0"/>
        <w:sz w:val="2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 w15:restartNumberingAfterBreak="0">
    <w:nsid w:val="2B855861"/>
    <w:multiLevelType w:val="multilevel"/>
    <w:tmpl w:val="69E853A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upperRoman"/>
      <w:pStyle w:val="Heading3"/>
      <w:lvlText w:val="%3."/>
      <w:lvlJc w:val="right"/>
      <w:pPr>
        <w:ind w:left="360" w:hanging="360"/>
      </w:p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50232215"/>
    <w:multiLevelType w:val="multilevel"/>
    <w:tmpl w:val="1100AED4"/>
    <w:lvl w:ilvl="0">
      <w:start w:val="1"/>
      <w:numFmt w:val="upperLetter"/>
      <w:pStyle w:val="IEEEHeading2"/>
      <w:lvlText w:val="%1."/>
      <w:lvlJc w:val="left"/>
      <w:rPr>
        <w:rFonts w:ascii="Times New Roman" w:eastAsia="Arial Unicode MS" w:hAnsi="Times New Roman" w:cs="Times New Roman" w:hint="default"/>
        <w:b/>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855"/>
        </w:tabs>
        <w:ind w:left="855" w:hanging="288"/>
      </w:pPr>
      <w:rPr>
        <w:rFonts w:ascii="Times New Roman" w:hAnsi="Times New Roman" w:hint="default"/>
        <w:b w:val="0"/>
        <w:i w:val="0"/>
        <w:sz w:val="2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431"/>
        </w:tabs>
        <w:ind w:left="1431" w:hanging="864"/>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 w15:restartNumberingAfterBreak="0">
    <w:nsid w:val="6A7F4B21"/>
    <w:multiLevelType w:val="multilevel"/>
    <w:tmpl w:val="464E758E"/>
    <w:lvl w:ilvl="0">
      <w:start w:val="1"/>
      <w:numFmt w:val="decimal"/>
      <w:pStyle w:val="IEEEHeading3"/>
      <w:suff w:val="nothing"/>
      <w:lvlText w:val="%1)  "/>
      <w:lvlJc w:val="left"/>
      <w:pPr>
        <w:ind w:left="0" w:firstLine="0"/>
      </w:pPr>
      <w:rPr>
        <w:rFonts w:hint="default"/>
        <w:i/>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16cid:durableId="1204176923">
    <w:abstractNumId w:val="3"/>
  </w:num>
  <w:num w:numId="2" w16cid:durableId="1655797796">
    <w:abstractNumId w:val="4"/>
  </w:num>
  <w:num w:numId="3" w16cid:durableId="1178079948">
    <w:abstractNumId w:val="2"/>
  </w:num>
  <w:num w:numId="4" w16cid:durableId="1530794457">
    <w:abstractNumId w:val="0"/>
  </w:num>
  <w:num w:numId="5" w16cid:durableId="1843617690">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AF6"/>
    <w:rsid w:val="000055BE"/>
    <w:rsid w:val="000148CA"/>
    <w:rsid w:val="00025FBA"/>
    <w:rsid w:val="000620B4"/>
    <w:rsid w:val="000A1AC4"/>
    <w:rsid w:val="000C49B6"/>
    <w:rsid w:val="00100027"/>
    <w:rsid w:val="0010607A"/>
    <w:rsid w:val="0014656D"/>
    <w:rsid w:val="00147D80"/>
    <w:rsid w:val="00151806"/>
    <w:rsid w:val="001538AE"/>
    <w:rsid w:val="00163AC5"/>
    <w:rsid w:val="00163C49"/>
    <w:rsid w:val="00182758"/>
    <w:rsid w:val="001A17A4"/>
    <w:rsid w:val="001A5D8E"/>
    <w:rsid w:val="001A6456"/>
    <w:rsid w:val="001C62FB"/>
    <w:rsid w:val="001D43CD"/>
    <w:rsid w:val="001E0508"/>
    <w:rsid w:val="001E2A35"/>
    <w:rsid w:val="0023748A"/>
    <w:rsid w:val="00241D17"/>
    <w:rsid w:val="00241DE7"/>
    <w:rsid w:val="00243347"/>
    <w:rsid w:val="002558A8"/>
    <w:rsid w:val="002558BC"/>
    <w:rsid w:val="00275A5B"/>
    <w:rsid w:val="0029081B"/>
    <w:rsid w:val="00290F9F"/>
    <w:rsid w:val="00292BDD"/>
    <w:rsid w:val="002D6D99"/>
    <w:rsid w:val="00301FA5"/>
    <w:rsid w:val="00321FEA"/>
    <w:rsid w:val="003243EB"/>
    <w:rsid w:val="00326B23"/>
    <w:rsid w:val="00332E82"/>
    <w:rsid w:val="00334F49"/>
    <w:rsid w:val="0035390E"/>
    <w:rsid w:val="00354464"/>
    <w:rsid w:val="00361A98"/>
    <w:rsid w:val="003627F5"/>
    <w:rsid w:val="003975A6"/>
    <w:rsid w:val="003A4408"/>
    <w:rsid w:val="003C789C"/>
    <w:rsid w:val="003E1FC4"/>
    <w:rsid w:val="00413286"/>
    <w:rsid w:val="00417363"/>
    <w:rsid w:val="004202AE"/>
    <w:rsid w:val="00421218"/>
    <w:rsid w:val="00421533"/>
    <w:rsid w:val="00450179"/>
    <w:rsid w:val="00471F0C"/>
    <w:rsid w:val="00476608"/>
    <w:rsid w:val="004865A9"/>
    <w:rsid w:val="00491740"/>
    <w:rsid w:val="004B7C52"/>
    <w:rsid w:val="00521D13"/>
    <w:rsid w:val="005362BB"/>
    <w:rsid w:val="00550BFE"/>
    <w:rsid w:val="00581638"/>
    <w:rsid w:val="00587FB4"/>
    <w:rsid w:val="0059044B"/>
    <w:rsid w:val="005B7859"/>
    <w:rsid w:val="005C6A72"/>
    <w:rsid w:val="005D710E"/>
    <w:rsid w:val="005E1485"/>
    <w:rsid w:val="00613274"/>
    <w:rsid w:val="006269EE"/>
    <w:rsid w:val="00633241"/>
    <w:rsid w:val="006658E1"/>
    <w:rsid w:val="00676A1B"/>
    <w:rsid w:val="006F0069"/>
    <w:rsid w:val="006F20C0"/>
    <w:rsid w:val="0071791D"/>
    <w:rsid w:val="00732CD5"/>
    <w:rsid w:val="00746981"/>
    <w:rsid w:val="007677D4"/>
    <w:rsid w:val="00781E21"/>
    <w:rsid w:val="00786671"/>
    <w:rsid w:val="00791DA9"/>
    <w:rsid w:val="007921CE"/>
    <w:rsid w:val="007A5163"/>
    <w:rsid w:val="007B39CF"/>
    <w:rsid w:val="007C0C23"/>
    <w:rsid w:val="007E21D6"/>
    <w:rsid w:val="007F4435"/>
    <w:rsid w:val="00815958"/>
    <w:rsid w:val="008220DF"/>
    <w:rsid w:val="0082505A"/>
    <w:rsid w:val="00846F89"/>
    <w:rsid w:val="00866359"/>
    <w:rsid w:val="00886EB8"/>
    <w:rsid w:val="00891C46"/>
    <w:rsid w:val="008A53F7"/>
    <w:rsid w:val="008B13FE"/>
    <w:rsid w:val="00935A9E"/>
    <w:rsid w:val="00942C5B"/>
    <w:rsid w:val="00950641"/>
    <w:rsid w:val="00955050"/>
    <w:rsid w:val="00985560"/>
    <w:rsid w:val="00992BA8"/>
    <w:rsid w:val="009A7FF4"/>
    <w:rsid w:val="009B0AF6"/>
    <w:rsid w:val="009B21E3"/>
    <w:rsid w:val="009D47EA"/>
    <w:rsid w:val="00A00056"/>
    <w:rsid w:val="00A24B83"/>
    <w:rsid w:val="00A27CED"/>
    <w:rsid w:val="00A34F12"/>
    <w:rsid w:val="00A36B0A"/>
    <w:rsid w:val="00A373E7"/>
    <w:rsid w:val="00A476D3"/>
    <w:rsid w:val="00A61E28"/>
    <w:rsid w:val="00A8692C"/>
    <w:rsid w:val="00A93261"/>
    <w:rsid w:val="00AA1DA5"/>
    <w:rsid w:val="00AC334E"/>
    <w:rsid w:val="00AD7C4B"/>
    <w:rsid w:val="00B0079C"/>
    <w:rsid w:val="00B024E4"/>
    <w:rsid w:val="00B34841"/>
    <w:rsid w:val="00B34CDD"/>
    <w:rsid w:val="00B908C0"/>
    <w:rsid w:val="00BA38E8"/>
    <w:rsid w:val="00BB1200"/>
    <w:rsid w:val="00BC32E6"/>
    <w:rsid w:val="00BE12F5"/>
    <w:rsid w:val="00BF597D"/>
    <w:rsid w:val="00C00D09"/>
    <w:rsid w:val="00C01350"/>
    <w:rsid w:val="00C11D99"/>
    <w:rsid w:val="00C34D18"/>
    <w:rsid w:val="00C36D2B"/>
    <w:rsid w:val="00C478FE"/>
    <w:rsid w:val="00C556F2"/>
    <w:rsid w:val="00C56906"/>
    <w:rsid w:val="00C676AF"/>
    <w:rsid w:val="00C7085A"/>
    <w:rsid w:val="00CB3BDB"/>
    <w:rsid w:val="00CE0180"/>
    <w:rsid w:val="00D5237D"/>
    <w:rsid w:val="00D616BE"/>
    <w:rsid w:val="00D62F9E"/>
    <w:rsid w:val="00D805CE"/>
    <w:rsid w:val="00D81C23"/>
    <w:rsid w:val="00D85C13"/>
    <w:rsid w:val="00D8693F"/>
    <w:rsid w:val="00D9104A"/>
    <w:rsid w:val="00D95354"/>
    <w:rsid w:val="00DA181C"/>
    <w:rsid w:val="00DC346D"/>
    <w:rsid w:val="00DC7B88"/>
    <w:rsid w:val="00DD211D"/>
    <w:rsid w:val="00DD753D"/>
    <w:rsid w:val="00DE2320"/>
    <w:rsid w:val="00E02EE7"/>
    <w:rsid w:val="00E05BB1"/>
    <w:rsid w:val="00E109A4"/>
    <w:rsid w:val="00E3722F"/>
    <w:rsid w:val="00E37C1B"/>
    <w:rsid w:val="00E538A0"/>
    <w:rsid w:val="00E854CC"/>
    <w:rsid w:val="00EA7010"/>
    <w:rsid w:val="00EA7E75"/>
    <w:rsid w:val="00EB308B"/>
    <w:rsid w:val="00ED73C9"/>
    <w:rsid w:val="00EF065F"/>
    <w:rsid w:val="00EF2199"/>
    <w:rsid w:val="00F47AF5"/>
    <w:rsid w:val="00F61991"/>
    <w:rsid w:val="00F91D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912F9"/>
  <w15:docId w15:val="{2C492592-6A6A-4BCB-A3AF-489FB007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5050"/>
    <w:pPr>
      <w:jc w:val="both"/>
    </w:pPr>
    <w:rPr>
      <w:rFonts w:ascii="Segoe UI" w:hAnsi="Segoe UI"/>
    </w:rPr>
  </w:style>
  <w:style w:type="paragraph" w:styleId="Heading1">
    <w:name w:val="heading 1"/>
    <w:basedOn w:val="Normal"/>
    <w:next w:val="Normal"/>
    <w:link w:val="Heading1Char"/>
    <w:uiPriority w:val="9"/>
    <w:qFormat/>
    <w:rsid w:val="005B78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55050"/>
    <w:pPr>
      <w:keepNext/>
      <w:keepLines/>
      <w:spacing w:before="40" w:after="0"/>
      <w:ind w:left="567"/>
      <w:outlineLvl w:val="1"/>
    </w:pPr>
    <w:rPr>
      <w:rFonts w:eastAsiaTheme="majorEastAsia" w:cstheme="majorBidi"/>
      <w:b/>
      <w:i/>
      <w:sz w:val="24"/>
      <w:szCs w:val="26"/>
    </w:rPr>
  </w:style>
  <w:style w:type="paragraph" w:styleId="Heading3">
    <w:name w:val="heading 3"/>
    <w:basedOn w:val="Normal"/>
    <w:next w:val="Normal"/>
    <w:link w:val="Heading3Char"/>
    <w:qFormat/>
    <w:rsid w:val="00332E82"/>
    <w:pPr>
      <w:keepNext/>
      <w:numPr>
        <w:ilvl w:val="2"/>
        <w:numId w:val="5"/>
      </w:numPr>
      <w:spacing w:before="240" w:after="60" w:line="240" w:lineRule="auto"/>
      <w:outlineLvl w:val="2"/>
    </w:pPr>
    <w:rPr>
      <w:rFonts w:eastAsia="SimSun" w:cs="Arial"/>
      <w:b/>
      <w:bCs/>
      <w:sz w:val="24"/>
      <w:szCs w:val="26"/>
      <w:lang w:val="en-AU" w:eastAsia="zh-CN"/>
    </w:rPr>
  </w:style>
  <w:style w:type="paragraph" w:styleId="Heading4">
    <w:name w:val="heading 4"/>
    <w:basedOn w:val="Normal"/>
    <w:next w:val="Normal"/>
    <w:link w:val="Heading4Char"/>
    <w:uiPriority w:val="9"/>
    <w:unhideWhenUsed/>
    <w:qFormat/>
    <w:rsid w:val="0095505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0A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0AF6"/>
  </w:style>
  <w:style w:type="paragraph" w:styleId="Footer">
    <w:name w:val="footer"/>
    <w:basedOn w:val="Normal"/>
    <w:link w:val="FooterChar"/>
    <w:uiPriority w:val="99"/>
    <w:unhideWhenUsed/>
    <w:rsid w:val="009B0A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AF6"/>
  </w:style>
  <w:style w:type="character" w:styleId="Hyperlink">
    <w:name w:val="Hyperlink"/>
    <w:basedOn w:val="DefaultParagraphFont"/>
    <w:uiPriority w:val="99"/>
    <w:unhideWhenUsed/>
    <w:rsid w:val="00F61991"/>
    <w:rPr>
      <w:color w:val="0563C1" w:themeColor="hyperlink"/>
      <w:u w:val="single"/>
    </w:rPr>
  </w:style>
  <w:style w:type="character" w:customStyle="1" w:styleId="Heading1Char">
    <w:name w:val="Heading 1 Char"/>
    <w:basedOn w:val="DefaultParagraphFont"/>
    <w:link w:val="Heading1"/>
    <w:uiPriority w:val="9"/>
    <w:rsid w:val="005B7859"/>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5362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Heading2">
    <w:name w:val="IEEE Heading 2"/>
    <w:basedOn w:val="Normal"/>
    <w:next w:val="Normal"/>
    <w:rsid w:val="00786671"/>
    <w:pPr>
      <w:numPr>
        <w:numId w:val="1"/>
      </w:numPr>
      <w:adjustRightInd w:val="0"/>
      <w:snapToGrid w:val="0"/>
      <w:spacing w:before="150" w:after="60" w:line="240" w:lineRule="auto"/>
    </w:pPr>
    <w:rPr>
      <w:rFonts w:ascii="Times New Roman" w:eastAsia="SimSun" w:hAnsi="Times New Roman" w:cs="Times New Roman"/>
      <w:i/>
      <w:sz w:val="20"/>
      <w:szCs w:val="24"/>
      <w:lang w:val="en-AU" w:eastAsia="zh-CN"/>
    </w:rPr>
  </w:style>
  <w:style w:type="paragraph" w:customStyle="1" w:styleId="IEEEParagraph">
    <w:name w:val="IEEE Paragraph"/>
    <w:basedOn w:val="Normal"/>
    <w:link w:val="IEEEParagraphChar"/>
    <w:rsid w:val="00A00056"/>
    <w:pPr>
      <w:adjustRightInd w:val="0"/>
      <w:snapToGrid w:val="0"/>
      <w:spacing w:after="0" w:line="240" w:lineRule="auto"/>
      <w:ind w:firstLine="216"/>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A00056"/>
    <w:rPr>
      <w:rFonts w:ascii="Times New Roman" w:eastAsia="SimSun" w:hAnsi="Times New Roman" w:cs="Times New Roman"/>
      <w:sz w:val="20"/>
      <w:szCs w:val="24"/>
      <w:lang w:val="en-AU" w:eastAsia="zh-CN"/>
    </w:rPr>
  </w:style>
  <w:style w:type="character" w:styleId="Emphasis">
    <w:name w:val="Emphasis"/>
    <w:basedOn w:val="DefaultParagraphFont"/>
    <w:uiPriority w:val="20"/>
    <w:qFormat/>
    <w:rsid w:val="00B34841"/>
    <w:rPr>
      <w:i/>
      <w:iCs/>
    </w:rPr>
  </w:style>
  <w:style w:type="character" w:styleId="Strong">
    <w:name w:val="Strong"/>
    <w:basedOn w:val="DefaultParagraphFont"/>
    <w:uiPriority w:val="22"/>
    <w:qFormat/>
    <w:rsid w:val="00147D80"/>
    <w:rPr>
      <w:b/>
      <w:bCs/>
    </w:rPr>
  </w:style>
  <w:style w:type="paragraph" w:styleId="ListParagraph">
    <w:name w:val="List Paragraph"/>
    <w:aliases w:val="kepala,skripsi,Body Text Char1,Char Char2,List Paragraph2,List Paragraph1,spasi 2 taiiii,Body of text,heading 3"/>
    <w:basedOn w:val="Normal"/>
    <w:link w:val="ListParagraphChar"/>
    <w:uiPriority w:val="1"/>
    <w:qFormat/>
    <w:rsid w:val="00C676AF"/>
    <w:pPr>
      <w:spacing w:after="200" w:line="276" w:lineRule="auto"/>
      <w:ind w:left="720"/>
      <w:contextualSpacing/>
    </w:pPr>
  </w:style>
  <w:style w:type="character" w:customStyle="1" w:styleId="ListParagraphChar">
    <w:name w:val="List Paragraph Char"/>
    <w:aliases w:val="kepala Char,skripsi Char,Body Text Char1 Char,Char Char2 Char,List Paragraph2 Char,List Paragraph1 Char,spasi 2 taiiii Char,Body of text Char,heading 3 Char"/>
    <w:basedOn w:val="DefaultParagraphFont"/>
    <w:link w:val="ListParagraph"/>
    <w:uiPriority w:val="34"/>
    <w:qFormat/>
    <w:locked/>
    <w:rsid w:val="00C676AF"/>
  </w:style>
  <w:style w:type="paragraph" w:styleId="BodyText">
    <w:name w:val="Body Text"/>
    <w:basedOn w:val="Normal"/>
    <w:link w:val="BodyTextChar"/>
    <w:uiPriority w:val="1"/>
    <w:qFormat/>
    <w:rsid w:val="00C36D2B"/>
    <w:pPr>
      <w:widowControl w:val="0"/>
      <w:autoSpaceDE w:val="0"/>
      <w:autoSpaceDN w:val="0"/>
      <w:spacing w:after="0" w:line="240" w:lineRule="auto"/>
    </w:pPr>
    <w:rPr>
      <w:rFonts w:ascii="Arial" w:eastAsia="Arial" w:hAnsi="Arial" w:cs="Arial"/>
      <w:lang w:val="en-GB"/>
    </w:rPr>
  </w:style>
  <w:style w:type="character" w:customStyle="1" w:styleId="BodyTextChar">
    <w:name w:val="Body Text Char"/>
    <w:basedOn w:val="DefaultParagraphFont"/>
    <w:link w:val="BodyText"/>
    <w:uiPriority w:val="1"/>
    <w:rsid w:val="00C36D2B"/>
    <w:rPr>
      <w:rFonts w:ascii="Arial" w:eastAsia="Arial" w:hAnsi="Arial" w:cs="Arial"/>
      <w:lang w:val="en-GB"/>
    </w:rPr>
  </w:style>
  <w:style w:type="paragraph" w:styleId="BalloonText">
    <w:name w:val="Balloon Text"/>
    <w:basedOn w:val="Normal"/>
    <w:link w:val="BalloonTextChar"/>
    <w:uiPriority w:val="99"/>
    <w:semiHidden/>
    <w:unhideWhenUsed/>
    <w:rsid w:val="00C36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6D2B"/>
    <w:rPr>
      <w:rFonts w:ascii="Tahoma" w:hAnsi="Tahoma" w:cs="Tahoma"/>
      <w:sz w:val="16"/>
      <w:szCs w:val="16"/>
    </w:rPr>
  </w:style>
  <w:style w:type="character" w:styleId="UnresolvedMention">
    <w:name w:val="Unresolved Mention"/>
    <w:basedOn w:val="DefaultParagraphFont"/>
    <w:uiPriority w:val="99"/>
    <w:semiHidden/>
    <w:unhideWhenUsed/>
    <w:rsid w:val="001E0508"/>
    <w:rPr>
      <w:color w:val="605E5C"/>
      <w:shd w:val="clear" w:color="auto" w:fill="E1DFDD"/>
    </w:rPr>
  </w:style>
  <w:style w:type="character" w:customStyle="1" w:styleId="Heading3Char">
    <w:name w:val="Heading 3 Char"/>
    <w:basedOn w:val="DefaultParagraphFont"/>
    <w:link w:val="Heading3"/>
    <w:rsid w:val="00332E82"/>
    <w:rPr>
      <w:rFonts w:ascii="Segoe UI" w:eastAsia="SimSun" w:hAnsi="Segoe UI" w:cs="Arial"/>
      <w:b/>
      <w:bCs/>
      <w:sz w:val="24"/>
      <w:szCs w:val="26"/>
      <w:lang w:val="en-AU" w:eastAsia="zh-CN"/>
    </w:rPr>
  </w:style>
  <w:style w:type="paragraph" w:customStyle="1" w:styleId="IEEEHeading1">
    <w:name w:val="IEEE Heading 1"/>
    <w:basedOn w:val="Normal"/>
    <w:next w:val="IEEEParagraph"/>
    <w:rsid w:val="001E0508"/>
    <w:pPr>
      <w:numPr>
        <w:numId w:val="4"/>
      </w:numPr>
      <w:adjustRightInd w:val="0"/>
      <w:snapToGrid w:val="0"/>
      <w:spacing w:before="180" w:after="60" w:line="240" w:lineRule="auto"/>
      <w:ind w:left="289" w:hanging="289"/>
      <w:jc w:val="center"/>
    </w:pPr>
    <w:rPr>
      <w:rFonts w:ascii="Times New Roman" w:eastAsia="SimSun" w:hAnsi="Times New Roman" w:cs="Times New Roman"/>
      <w:smallCaps/>
      <w:sz w:val="20"/>
      <w:szCs w:val="24"/>
      <w:lang w:val="en-AU" w:eastAsia="zh-CN"/>
    </w:rPr>
  </w:style>
  <w:style w:type="paragraph" w:customStyle="1" w:styleId="IEEEHeading3">
    <w:name w:val="IEEE Heading 3"/>
    <w:basedOn w:val="Normal"/>
    <w:next w:val="IEEEParagraph"/>
    <w:link w:val="IEEEHeading3Char"/>
    <w:rsid w:val="001E0508"/>
    <w:pPr>
      <w:numPr>
        <w:numId w:val="2"/>
      </w:numPr>
      <w:adjustRightInd w:val="0"/>
      <w:snapToGrid w:val="0"/>
      <w:spacing w:before="120" w:after="60" w:line="240" w:lineRule="auto"/>
      <w:ind w:firstLine="216"/>
    </w:pPr>
    <w:rPr>
      <w:rFonts w:ascii="Times New Roman" w:eastAsia="SimSun" w:hAnsi="Times New Roman" w:cs="Times New Roman"/>
      <w:i/>
      <w:sz w:val="20"/>
      <w:szCs w:val="24"/>
      <w:lang w:val="en-AU" w:eastAsia="zh-CN"/>
    </w:rPr>
  </w:style>
  <w:style w:type="numbering" w:customStyle="1" w:styleId="IEEEBullet1">
    <w:name w:val="IEEE Bullet 1"/>
    <w:basedOn w:val="NoList"/>
    <w:rsid w:val="001E0508"/>
    <w:pPr>
      <w:numPr>
        <w:numId w:val="3"/>
      </w:numPr>
    </w:pPr>
  </w:style>
  <w:style w:type="paragraph" w:customStyle="1" w:styleId="IEEEFigureCaptionSingle-Line">
    <w:name w:val="IEEE Figure Caption Single-Line"/>
    <w:basedOn w:val="Normal"/>
    <w:next w:val="IEEEParagraph"/>
    <w:rsid w:val="001E0508"/>
    <w:pPr>
      <w:spacing w:before="120" w:after="120" w:line="240" w:lineRule="auto"/>
      <w:jc w:val="center"/>
    </w:pPr>
    <w:rPr>
      <w:rFonts w:ascii="Times New Roman" w:eastAsia="SimSun" w:hAnsi="Times New Roman" w:cs="Times New Roman"/>
      <w:sz w:val="16"/>
      <w:szCs w:val="24"/>
      <w:lang w:val="en-AU" w:eastAsia="zh-CN"/>
    </w:rPr>
  </w:style>
  <w:style w:type="character" w:customStyle="1" w:styleId="IEEEHeading3Char">
    <w:name w:val="IEEE Heading 3 Char"/>
    <w:link w:val="IEEEHeading3"/>
    <w:rsid w:val="001E0508"/>
    <w:rPr>
      <w:rFonts w:ascii="Times New Roman" w:eastAsia="SimSun" w:hAnsi="Times New Roman" w:cs="Times New Roman"/>
      <w:i/>
      <w:sz w:val="20"/>
      <w:szCs w:val="24"/>
      <w:lang w:val="en-AU" w:eastAsia="zh-CN"/>
    </w:rPr>
  </w:style>
  <w:style w:type="paragraph" w:customStyle="1" w:styleId="IEEEFigure">
    <w:name w:val="IEEE Figure"/>
    <w:basedOn w:val="Normal"/>
    <w:next w:val="IEEEFigureCaptionSingle-Line"/>
    <w:rsid w:val="001E0508"/>
    <w:pPr>
      <w:spacing w:after="0" w:line="240" w:lineRule="auto"/>
      <w:jc w:val="center"/>
    </w:pPr>
    <w:rPr>
      <w:rFonts w:ascii="Times New Roman" w:eastAsia="SimSun" w:hAnsi="Times New Roman" w:cs="Times New Roman"/>
      <w:sz w:val="24"/>
      <w:szCs w:val="24"/>
      <w:lang w:val="en-AU" w:eastAsia="zh-CN"/>
    </w:rPr>
  </w:style>
  <w:style w:type="paragraph" w:customStyle="1" w:styleId="IEEEReferenceItem">
    <w:name w:val="IEEE Reference Item"/>
    <w:basedOn w:val="Normal"/>
    <w:rsid w:val="001E0508"/>
    <w:pPr>
      <w:numPr>
        <w:numId w:val="5"/>
      </w:numPr>
      <w:adjustRightInd w:val="0"/>
      <w:snapToGrid w:val="0"/>
      <w:spacing w:after="0" w:line="240" w:lineRule="auto"/>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1E0508"/>
    <w:pPr>
      <w:jc w:val="both"/>
    </w:pPr>
  </w:style>
  <w:style w:type="character" w:customStyle="1" w:styleId="shorttext">
    <w:name w:val="short_text"/>
    <w:basedOn w:val="DefaultParagraphFont"/>
    <w:rsid w:val="001E0508"/>
  </w:style>
  <w:style w:type="character" w:customStyle="1" w:styleId="longtext">
    <w:name w:val="long_text"/>
    <w:basedOn w:val="DefaultParagraphFont"/>
    <w:rsid w:val="001E0508"/>
  </w:style>
  <w:style w:type="character" w:customStyle="1" w:styleId="mediumtext">
    <w:name w:val="medium_text"/>
    <w:basedOn w:val="DefaultParagraphFont"/>
    <w:rsid w:val="001E0508"/>
  </w:style>
  <w:style w:type="character" w:customStyle="1" w:styleId="Heading2Char">
    <w:name w:val="Heading 2 Char"/>
    <w:basedOn w:val="DefaultParagraphFont"/>
    <w:link w:val="Heading2"/>
    <w:uiPriority w:val="9"/>
    <w:rsid w:val="00955050"/>
    <w:rPr>
      <w:rFonts w:ascii="Segoe UI" w:eastAsiaTheme="majorEastAsia" w:hAnsi="Segoe UI" w:cstheme="majorBidi"/>
      <w:b/>
      <w:i/>
      <w:sz w:val="24"/>
      <w:szCs w:val="26"/>
    </w:rPr>
  </w:style>
  <w:style w:type="character" w:customStyle="1" w:styleId="Heading4Char">
    <w:name w:val="Heading 4 Char"/>
    <w:basedOn w:val="DefaultParagraphFont"/>
    <w:link w:val="Heading4"/>
    <w:uiPriority w:val="9"/>
    <w:rsid w:val="00955050"/>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espondensi@email.co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ojs.ukipaulus.ac.id/index.php/psnp"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00B40F-ADF3-4675-9060-D573B587B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4591</Words>
  <Characters>26169</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Dr. Johannes Baptista Halik,SE.,MM.,CDM</cp:lastModifiedBy>
  <cp:revision>4</cp:revision>
  <cp:lastPrinted>2023-04-17T18:59:00Z</cp:lastPrinted>
  <dcterms:created xsi:type="dcterms:W3CDTF">2026-01-24T05:16:00Z</dcterms:created>
  <dcterms:modified xsi:type="dcterms:W3CDTF">2026-01-24T05:29:00Z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8aaf13d0-69ee-3735-a14e-5705f96a29cd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http://www.zotero.org/styles/elsevier-vancouver</vt:lpwstr>
  </property>
  <property fmtid="{D5CDD505-2E9C-101B-9397-08002B2CF9AE}" pid="18" name="Mendeley Recent Style Name 6_1">
    <vt:lpwstr>Elsevier - Vancouver</vt:lpwstr>
  </property>
  <property fmtid="{D5CDD505-2E9C-101B-9397-08002B2CF9AE}" pid="19" name="Mendeley Recent Style Id 7_1">
    <vt:lpwstr>http://www.zotero.org/styles/ieee</vt:lpwstr>
  </property>
  <property fmtid="{D5CDD505-2E9C-101B-9397-08002B2CF9AE}" pid="20" name="Mendeley Recent Style Name 7_1">
    <vt:lpwstr>IEEE</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4th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9th edition</vt:lpwstr>
  </property>
</Properties>
</file>