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7C5E7" w14:textId="2A705733"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nJtlxgEAAN0DAAAOAAAAZHJzL2Uyb0RvYy54bWysU0uP2yAQvlfqf0DcGzupNqmsOHvY1fZS tau+7gQPMSowCGjs/PsO2PFuH4eqqg8I5vHNfN+M97ejNewMIWp0LV+vas7ASey0O7X8y+eHV284 i0m4Thh00PILRH57ePliP/gGNtij6SAwAnGxGXzL+5R8U1VR9mBFXKEHR06FwYpEz3CquiAGQrem 2tT1thowdD6ghBjJej85+aHgKwUyfVAqQmKm5dRbKmco5zGf1WEvmlMQvtdybkP8QxdWaEdFF6h7 kQT7HvRvUFbLgBFVWkm0FSqlJRQOxGZd/8LmUy88FC4kTvSLTPH/wcr35zv3GEiGwccm+seQWYwq WKaM9l9ppoUXdcrGIttlkQ3GxCQZb7bb3evdDWfy6qsmiAzlQ0xvAS3Ll5Yb7TIj0Yjzu5ioLIVe Q7LZODZQzc2urktYRKO7B21MdsZwOt6ZwM4iT7N8eYAE8SyMXsaR8YlPuaWLganAR1BMd9T3xKys Giyw3bf1jGkcReYUReWXpLmtvJ9/SppjcxqU9fvbxCW6VESXlkSrHYZJjJ+rpvHaqprir6wnrpn2 EbtLmW6Rg3aoqDXve17S5++S/vRXHn4AAAD//wMAUEsDBBQABgAIAAAAIQD70Wfa2wAAAAcBAAAP AAAAZHJzL2Rvd25yZXYueG1sTI9BT8MwDIXvSPsPkSdx29KxgUppOk2VuCHBBuKcNl5b1jhVkm7d v8eIA5ys5/f0/DnfTrYXZ/Shc6RgtUxAINXOdNQo+Hh/XqQgQtRkdO8IFVwxwLaY3eQ6M+5Cezwf YiO4hEKmFbQxDpmUoW7R6rB0AxJ7R+etjix9I43XFy63vbxLkgdpdUd8odUDli3Wp8NoFXSyXFWf vjy+XTFdx/Xr/utlnJS6nU+7JxARp/gXhh98RoeCmSo3kgmiZ33PQQWLDU+208cNv1b9LmSRy//8 xTcAAAD//wMAUEsBAi0AFAAGAAgAAAAhALaDOJL+AAAA4QEAABMAAAAAAAAAAAAAAAAAAAAAAFtD b250ZW50X1R5cGVzXS54bWxQSwECLQAUAAYACAAAACEAOP0h/9YAAACUAQAACwAAAAAAAAAAAAAA AAAvAQAAX3JlbHMvLnJlbHNQSwECLQAUAAYACAAAACEAk5ybZcYBAADdAwAADgAAAAAAAAAAAAAA AAAuAgAAZHJzL2Uyb0RvYy54bWxQSwECLQAUAAYACAAAACEA+9Fn2tsAAAAHAQAADwAAAAAAAAAA AAAAAAAgBAAAZHJzL2Rvd25yZXYueG1sUEsFBgAAAAAEAAQA8wAAACgFAAAAAA== " strokeweight="1pt">
                <v:stroke joinstyle="miter"/>
              </v:line>
            </w:pict>
          </mc:Fallback>
        </mc:AlternateContent>
      </w:r>
      <w:r>
        <w:rPr>
          <w:rFonts w:cs="Segoe UI"/>
          <w:i/>
          <w:noProof/>
          <w:sz w:val="16"/>
          <w:szCs w:val="16"/>
          <w:lang w:val="en-IN" w:eastAsia="en-IN"/>
        </w:rPr>
        <w:t xml:space="preserve">                                       </w:t>
      </w:r>
      <w:hyperlink r:id="rId10" w:history="1">
        <w:r>
          <w:rPr>
            <w:rStyle w:val="Hyperlink"/>
            <w:rFonts w:cs="Segoe UI"/>
            <w:i/>
            <w:noProof/>
            <w:sz w:val="16"/>
            <w:szCs w:val="16"/>
            <w:lang w:val="en-IN" w:eastAsia="en-IN"/>
          </w:rPr>
          <w:t>https://ojs.ukipaulus.ac.id/index.php/psnp</w:t>
        </w:r>
      </w:hyperlink>
      <w:r>
        <w:rPr>
          <w:rFonts w:cs="Segoe UI"/>
          <w:i/>
          <w:noProof/>
          <w:sz w:val="16"/>
          <w:szCs w:val="16"/>
          <w:lang w:val="en-IN" w:eastAsia="en-IN"/>
        </w:rPr>
        <w:t xml:space="preserve"> </w:t>
      </w:r>
      <w:r>
        <w:t xml:space="preserve">  </w:t>
      </w:r>
    </w:p>
    <w:p w14:paraId="76CB2357"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747235D0" w14:textId="1EC4966A"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Humanesia Pascasarjana</w:t>
      </w:r>
    </w:p>
    <w:p w14:paraId="5199D495" w14:textId="2F27610F" w:rsidR="00AD7C4B" w:rsidRDefault="003A4408" w:rsidP="003A4408">
      <w:pPr>
        <w:spacing w:after="0" w:line="240" w:lineRule="auto"/>
        <w:jc w:val="center"/>
        <w:rPr>
          <w:rFonts w:cs="Segoe UI"/>
          <w:b/>
          <w:sz w:val="16"/>
          <w:szCs w:val="16"/>
        </w:rPr>
      </w:pPr>
      <w:r>
        <w:rPr>
          <w:rFonts w:cs="Segoe UI"/>
          <w:b/>
          <w:sz w:val="16"/>
          <w:szCs w:val="16"/>
        </w:rPr>
        <w:t xml:space="preserve">(Humaniora, Ekonomi, Bisnis, Manajemen, Hukum dan Sosiologi)</w:t>
      </w:r>
    </w:p>
    <w:p w14:paraId="3F128BA9" w14:textId="0ED6C639" w:rsidR="0010607A" w:rsidRDefault="00886EB8" w:rsidP="00E109A4">
      <w:pPr>
        <w:spacing w:after="0" w:line="240" w:lineRule="auto"/>
        <w:jc w:val="center"/>
        <w:rPr>
          <w:rFonts w:cs="Segoe UI"/>
          <w:b/>
        </w:rPr>
      </w:pPr>
      <w:r>
        <w:rPr>
          <w:rFonts w:cs="Segoe UI"/>
          <w:b/>
        </w:rPr>
        <w:t>Universitas Kristen Indonesia Paulus</w:t>
      </w:r>
    </w:p>
    <w:p w14:paraId="42211695" w14:textId="133865A4" w:rsidR="007677D4" w:rsidRPr="0010607A" w:rsidRDefault="00E109A4" w:rsidP="00E109A4">
      <w:pPr>
        <w:spacing w:after="0" w:line="240" w:lineRule="auto"/>
        <w:jc w:val="left"/>
        <w:rPr>
          <w:rFonts w:cs="Segoe UI"/>
          <w:b/>
          <w:sz w:val="20"/>
          <w:szCs w:val="20"/>
        </w:rPr>
      </w:pPr>
      <w:r>
        <w:rPr>
          <w:rFonts w:cs="Segoe UI"/>
          <w:b/>
          <w:sz w:val="20"/>
          <w:szCs w:val="20"/>
        </w:rPr>
        <w:t xml:space="preserve">                                                                 Makassar, Indonesia</w:t>
      </w:r>
    </w:p>
    <w:p w14:paraId="4A29B526" w14:textId="0137736E" w:rsidR="001E0508" w:rsidRPr="00C676AF" w:rsidRDefault="00E109A4" w:rsidP="007677D4">
      <w:pPr>
        <w:spacing w:after="0" w:line="240" w:lineRule="auto"/>
        <w:jc w:val="left"/>
        <w:rPr>
          <w:rFonts w:cs="Segoe UI"/>
          <w:b/>
          <w:sz w:val="20"/>
          <w:szCs w:val="20"/>
        </w:rPr>
      </w:pPr>
      <w:r>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zCzEyQEAAN0DAAAOAAAAZHJzL2Uyb0RvYy54bWysU01v2zAMvQ/YfxB0X+ykWJYacXpo1l2G rVi73RWJioXqC5IWO/9+lOy43cdhGHYRRIp85HuktjeD0eQEISpnW7pc1JSA5U4oe2zp18e7NxtK YmJWMO0stPQMkd7sXr/a9r6BleucFhAIgtjY9L6lXUq+qarIOzAsLpwHi4/SBcMSmuFYicB6RDe6 WtX1uupdED44DjGidz8+0l3BlxJ4+ixlhER0S7G3VM5QzkM+q92WNcfAfKf41Ab7hy4MUxaLzlB7 lhj5HtRvUEbx4KKTacGdqZyUikPhgGyW9S9sHjrmoXBBcaKfZYr/D5Z/Ot3a+4Ay9D420d+HzGKQ wRCplf+GMy28sFMyFNnOs2wwJMLR+Xb9bn1do7r88laNEBnKh5g+gDMkX1qqlc2MWMNOH2PCshh6 CclubUnf0qvNEvGyHZ1W4k5pXYxwPNzqQE4sT7PevN+v8gAR4kUYWtqi85lPuaWzhrHAF5BECex7 ZFZWDWZY8bScMLXFyJwisfycNLWV9/NPSVNsToOyfn+bOEeXis6mOdEo68Ioxs9V03BpVY7xF9Yj 10z74MS5TLfIgTtU1Jr2PS/pS7ukP//K3Q8AAAD//wMAUEsDBBQABgAIAAAAIQAqp0Nf2QAAAAcB AAAPAAAAZHJzL2Rvd25yZXYueG1sTI9NT8JAEIbvJv6HzZh4ky0YFEq3RE3w4gWReB66Y9t0d7bp LlD+vWM86PH9yDvPFOvRO3WiIbaBDUwnGSjiKtiWawP7j83dAlRMyBZdYDJwoQjr8vqqwNyGM7/T aZdqJSMcczTQpNTnWseqIY9xEnpiyb7C4DGJHGptBzzLuHd6lmUP2mPLcqHBnl4aqrrd0RvoH+my Hfc0ve/ctn17xtcNdp/G3N6MTytQicb0V4YffEGHUpgO4cg2Kid6LkUDs0wekHixnItx+DV0Wej/ /OU3AAAA//8DAFBLAQItABQABgAIAAAAIQC2gziS/gAAAOEBAAATAAAAAAAAAAAAAAAAAAAAAABb Q29udGVudF9UeXBlc10ueG1sUEsBAi0AFAAGAAgAAAAhADj9If/WAAAAlAEAAAsAAAAAAAAAAAAA AAAALwEAAF9yZWxzLy5yZWxzUEsBAi0AFAAGAAgAAAAhAMDMLMTJAQAA3QMAAA4AAAAAAAAAAAAA AAAALgIAAGRycy9lMm9Eb2MueG1sUEsBAi0AFAAGAAgAAAAhACqnQ1/ZAAAABwEAAA8AAAAAAAAA AAAAAAAAIwQAAGRycy9kb3ducmV2LnhtbFBLBQYAAAAABAAEAPMAAAApBQAAAAA= " strokecolor="#008ed2" strokeweight="3pt">
                <v:stroke joinstyle="miter"/>
              </v:line>
            </w:pict>
          </mc:Fallback>
        </mc:AlternateContent>
      </w:r>
    </w:p>
    <w:p w14:paraId="157D411B" w14:textId="4E006BE1" w:rsidR="00AD7C4B" w:rsidRPr="00C676AF" w:rsidRDefault="00AD7C4B" w:rsidP="00676A1B">
      <w:pPr>
        <w:tabs>
          <w:tab w:val="right" w:pos="9026"/>
        </w:tabs>
        <w:spacing w:after="0" w:line="240" w:lineRule="auto"/>
        <w:rPr>
          <w:rFonts w:cs="Segoe UI"/>
          <w:b/>
          <w:sz w:val="20"/>
          <w:szCs w:val="20"/>
        </w:rPr>
      </w:pPr>
      <w:r>
        <w:rPr>
          <w:rFonts w:cs="Segoe UI"/>
          <w:b/>
          <w:sz w:val="20"/>
          <w:szCs w:val="20"/>
        </w:rPr>
        <w:tab/>
      </w:r>
    </w:p>
    <w:p w14:paraId="01376EA5" w14:textId="3A933C7B" w:rsidR="00676A1B" w:rsidRPr="003A4408" w:rsidRDefault="006F20C0" w:rsidP="00100027">
      <w:pPr>
        <w:tabs>
          <w:tab w:val="right" w:pos="9026"/>
        </w:tabs>
        <w:spacing w:after="0" w:line="240" w:lineRule="auto"/>
        <w:jc w:val="center"/>
        <w:rPr>
          <w:rFonts w:cs="Segoe UI"/>
          <w:b/>
          <w:sz w:val="30"/>
          <w:szCs w:val="30"/>
          <w:lang w:val="en-US"/>
        </w:rPr>
      </w:pPr>
      <w:r>
        <w:rPr>
          <w:rFonts w:cs="Segoe UI"/>
          <w:b/>
          <w:bCs/>
          <w:sz w:val="30"/>
          <w:szCs w:val="30"/>
          <w:lang w:val="id"/>
        </w:rPr>
        <w:t xml:space="preserve">Implementasi Kewenangan Intelijen Kepolisian dalam Deteksi Dini Gangguan Keamanan dan Ketertiban Masyarakat di Papua</w:t>
      </w:r>
    </w:p>
    <w:p w14:paraId="3A1EF515" w14:textId="6350003F" w:rsidR="00100027" w:rsidRPr="00100027" w:rsidRDefault="00100027" w:rsidP="007677D4">
      <w:pPr>
        <w:tabs>
          <w:tab w:val="right" w:pos="9026"/>
        </w:tabs>
        <w:spacing w:after="0" w:line="240" w:lineRule="auto"/>
        <w:jc w:val="left"/>
        <w:rPr>
          <w:rFonts w:cs="Segoe UI"/>
          <w:i/>
          <w:sz w:val="24"/>
          <w:szCs w:val="20"/>
          <w:lang w:val="en-US"/>
        </w:rPr>
      </w:pPr>
    </w:p>
    <w:p w14:paraId="469C6E82" w14:textId="183D7E7F" w:rsidR="00361A98" w:rsidRPr="00C676AF" w:rsidRDefault="00361A98" w:rsidP="00676A1B">
      <w:pPr>
        <w:tabs>
          <w:tab w:val="right" w:pos="9026"/>
        </w:tabs>
        <w:spacing w:after="0" w:line="240" w:lineRule="auto"/>
        <w:rPr>
          <w:rFonts w:cs="Segoe UI"/>
          <w:sz w:val="20"/>
          <w:szCs w:val="20"/>
        </w:rPr>
      </w:pPr>
    </w:p>
    <w:p w14:paraId="7A483E67" w14:textId="5C7B2371" w:rsidR="00AC334E" w:rsidRPr="00886EB8" w:rsidRDefault="001E0508" w:rsidP="00C00D09">
      <w:pPr>
        <w:tabs>
          <w:tab w:val="right" w:pos="9026"/>
        </w:tabs>
        <w:spacing w:after="0" w:line="240" w:lineRule="auto"/>
        <w:rPr>
          <w:rFonts w:cs="Segoe UI"/>
          <w:b/>
          <w:bCs/>
          <w:sz w:val="24"/>
          <w:szCs w:val="24"/>
          <w:lang w:val="fi-FI"/>
        </w:rPr>
      </w:pPr>
      <w:r>
        <w:rPr>
          <w:rFonts w:cs="Segoe UI"/>
          <w:b/>
          <w:bCs/>
          <w:sz w:val="24"/>
          <w:szCs w:val="24"/>
          <w:lang w:val="fi-FI"/>
        </w:rPr>
        <w:t>Rimba Putra Praja1*</w:t>
      </w:r>
    </w:p>
    <w:p w14:paraId="408EDE2B" w14:textId="640F5D4D" w:rsidR="00AC334E" w:rsidRDefault="001E0508" w:rsidP="00241D17">
      <w:pPr>
        <w:tabs>
          <w:tab w:val="right" w:pos="9026"/>
        </w:tabs>
        <w:spacing w:after="0" w:line="240" w:lineRule="auto"/>
        <w:rPr>
          <w:rFonts w:cs="Segoe UI"/>
          <w:sz w:val="20"/>
          <w:szCs w:val="20"/>
          <w:lang w:val="fi-FI"/>
        </w:rPr>
      </w:pPr>
      <w:r>
        <w:rPr>
          <w:rFonts w:cs="Segoe UI"/>
          <w:sz w:val="20"/>
          <w:szCs w:val="20"/>
          <w:vertAlign w:val="superscript"/>
          <w:lang w:val="fi-FI"/>
        </w:rPr>
        <w:t>1</w:t>
      </w:r>
      <w:r>
        <w:rPr>
          <w:rFonts w:cs="Segoe UI"/>
          <w:sz w:val="20"/>
          <w:szCs w:val="20"/>
          <w:lang w:val="fi-FI"/>
        </w:rPr>
        <w:t xml:space="preserve"> Program Studi Magister Ilmu Hukum, Program Pascasarjana, Universitas Kristen Indonesia Paulus, Makassar, Indonesia</w:t>
      </w:r>
    </w:p>
    <w:p w14:paraId="03280406" w14:textId="36D2D9A5" w:rsidR="00BE12F5" w:rsidRPr="007677D4" w:rsidRDefault="006F20C0" w:rsidP="00241D17">
      <w:pPr>
        <w:tabs>
          <w:tab w:val="right" w:pos="9026"/>
        </w:tabs>
        <w:spacing w:after="0" w:line="240" w:lineRule="auto"/>
        <w:rPr>
          <w:rFonts w:cs="Segoe UI"/>
          <w:i/>
          <w:sz w:val="18"/>
          <w:szCs w:val="18"/>
          <w:lang w:val="en-US"/>
        </w:rPr>
      </w:pPr>
      <w:hyperlink r:id="rId11" w:history="1">
        <w:r>
          <w:rPr>
            <w:rStyle w:val="Hyperlink"/>
            <w:rFonts w:cs="Segoe UI"/>
            <w:i/>
            <w:sz w:val="18"/>
            <w:szCs w:val="18"/>
            <w:lang w:val="fi-FI"/>
          </w:rPr>
          <w:t>rimba@ukipaulus.ac.id</w:t>
        </w:r>
      </w:hyperlink>
      <w:r>
        <w:rPr>
          <w:rFonts w:cs="Segoe UI"/>
          <w:i/>
          <w:sz w:val="18"/>
          <w:szCs w:val="18"/>
          <w:lang w:val="fi-FI"/>
        </w:rPr>
        <w:t xml:space="preserve"> </w:t>
      </w:r>
      <w:r>
        <w:rPr>
          <w:rFonts w:cs="Segoe UI"/>
          <w:i/>
          <w:sz w:val="18"/>
          <w:szCs w:val="18"/>
          <w:lang w:val="en-US"/>
        </w:rPr>
        <w:t>(Korespondensi)*</w:t>
      </w:r>
    </w:p>
    <w:p w14:paraId="2A959B97" w14:textId="77777777" w:rsidR="006F20C0" w:rsidRPr="00C676AF"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0562E13F" w14:textId="77777777" w:rsidTr="00550BFE">
        <w:trPr>
          <w:trHeight w:val="189"/>
        </w:trPr>
        <w:tc>
          <w:tcPr>
            <w:tcW w:w="1171" w:type="pct"/>
            <w:tcBorders>
              <w:top w:val="single" w:sz="4" w:space="0" w:color="auto"/>
              <w:bottom w:val="single" w:sz="4" w:space="0" w:color="auto"/>
            </w:tcBorders>
          </w:tcPr>
          <w:p w14:paraId="312F1C6B" w14:textId="05A6C11E"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7761FE3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57D7D53D" w14:textId="77777777" w:rsidTr="00550BFE">
        <w:trPr>
          <w:trHeight w:val="1678"/>
        </w:trPr>
        <w:tc>
          <w:tcPr>
            <w:tcW w:w="1171" w:type="pct"/>
            <w:tcBorders>
              <w:top w:val="single" w:sz="4" w:space="0" w:color="auto"/>
              <w:bottom w:val="single" w:sz="4" w:space="0" w:color="auto"/>
            </w:tcBorders>
          </w:tcPr>
          <w:p w14:paraId="3D67F033" w14:textId="77777777" w:rsidR="00241D17" w:rsidRPr="00C676AF" w:rsidRDefault="00241D17" w:rsidP="00417363">
            <w:pPr>
              <w:spacing w:after="0" w:line="240" w:lineRule="auto"/>
              <w:rPr>
                <w:rFonts w:eastAsia="Times New Roman" w:cs="Segoe UI"/>
                <w:b/>
                <w:i/>
                <w:iCs/>
                <w:color w:val="181717"/>
                <w:sz w:val="20"/>
                <w:szCs w:val="20"/>
              </w:rPr>
            </w:pPr>
            <w:r>
              <w:rPr>
                <w:rFonts w:eastAsia="Times New Roman" w:cs="Segoe UI"/>
                <w:b/>
                <w:i/>
                <w:iCs/>
                <w:color w:val="181717"/>
                <w:sz w:val="20"/>
                <w:szCs w:val="20"/>
              </w:rPr>
              <w:t>Keyword:</w:t>
            </w:r>
          </w:p>
          <w:p w14:paraId="3BBA5661" w14:textId="6B1A32C2" w:rsidR="00417363" w:rsidRDefault="001E0508" w:rsidP="00886EB8">
            <w:pPr>
              <w:spacing w:after="0" w:line="240" w:lineRule="auto"/>
              <w:jc w:val="left"/>
              <w:rPr>
                <w:rFonts w:eastAsia="Times New Roman" w:cs="Segoe UI"/>
                <w:i/>
                <w:iCs/>
                <w:color w:val="181717"/>
                <w:sz w:val="20"/>
                <w:szCs w:val="20"/>
                <w:lang w:val="en-US"/>
              </w:rPr>
            </w:pPr>
            <w:r>
              <w:rPr>
                <w:rFonts w:eastAsia="Times New Roman" w:cs="Segoe UI"/>
                <w:i/>
                <w:iCs/>
                <w:color w:val="181717"/>
                <w:sz w:val="20"/>
                <w:szCs w:val="20"/>
                <w:lang w:val="en-US"/>
              </w:rPr>
              <w:t xml:space="preserve">police intelligence, early detection, public security and order, Papua, rule of law, authority</w:t>
            </w:r>
          </w:p>
          <w:p w14:paraId="440C95CD" w14:textId="77777777" w:rsidR="001E0508" w:rsidRPr="00332E82" w:rsidRDefault="001E0508" w:rsidP="00417363">
            <w:pPr>
              <w:spacing w:after="0" w:line="240" w:lineRule="auto"/>
              <w:rPr>
                <w:rFonts w:eastAsia="Times New Roman" w:cs="Segoe UI"/>
                <w:b/>
                <w:iCs/>
                <w:color w:val="181717"/>
                <w:sz w:val="20"/>
                <w:szCs w:val="20"/>
                <w:lang w:val="en-US"/>
              </w:rPr>
            </w:pPr>
          </w:p>
          <w:p w14:paraId="495B6352" w14:textId="77777777" w:rsidR="00241D17" w:rsidRPr="00C676AF" w:rsidRDefault="00241D17" w:rsidP="00417363">
            <w:pPr>
              <w:spacing w:after="0" w:line="240" w:lineRule="auto"/>
              <w:rPr>
                <w:rFonts w:eastAsia="Times New Roman" w:cs="Segoe UI"/>
                <w:b/>
                <w:iCs/>
                <w:color w:val="181717"/>
                <w:sz w:val="20"/>
                <w:szCs w:val="20"/>
              </w:rPr>
            </w:pPr>
            <w:r>
              <w:rPr>
                <w:rFonts w:eastAsia="Times New Roman" w:cs="Segoe UI"/>
                <w:b/>
                <w:iCs/>
                <w:color w:val="181717"/>
                <w:sz w:val="20"/>
                <w:szCs w:val="20"/>
              </w:rPr>
              <w:t>Kata Kunci:</w:t>
            </w:r>
          </w:p>
          <w:p w14:paraId="33F6629F" w14:textId="300E20A2" w:rsidR="00241D17" w:rsidRPr="00C676AF" w:rsidRDefault="001E0508" w:rsidP="00886EB8">
            <w:pPr>
              <w:spacing w:after="0" w:line="240" w:lineRule="auto"/>
              <w:jc w:val="left"/>
              <w:rPr>
                <w:rFonts w:eastAsia="Times New Roman" w:cs="Segoe UI"/>
                <w:i/>
                <w:color w:val="181717"/>
                <w:sz w:val="20"/>
                <w:szCs w:val="20"/>
              </w:rPr>
            </w:pPr>
            <w:r>
              <w:rPr>
                <w:rFonts w:eastAsia="Times New Roman" w:cs="Segoe UI"/>
                <w:iCs/>
                <w:color w:val="181717"/>
                <w:sz w:val="20"/>
                <w:szCs w:val="20"/>
                <w:lang w:val="fi-FI"/>
              </w:rPr>
              <w:t>intelijen kepolisian, deteksi dini, keamanan dan ketertiban masyarakat, Papua, negara hukum, kewenangan</w:t>
            </w:r>
          </w:p>
        </w:tc>
        <w:tc>
          <w:tcPr>
            <w:tcW w:w="3829" w:type="pct"/>
            <w:tcBorders>
              <w:top w:val="single" w:sz="4" w:space="0" w:color="auto"/>
              <w:bottom w:val="single" w:sz="4" w:space="0" w:color="auto"/>
            </w:tcBorders>
          </w:tcPr>
          <w:p w14:paraId="55BC0D0E" w14:textId="48443D05" w:rsidR="00147D80" w:rsidRDefault="00241D17" w:rsidP="001E0508">
            <w:pPr>
              <w:spacing w:after="0" w:line="240" w:lineRule="auto"/>
              <w:rPr>
                <w:rStyle w:val="Strong"/>
                <w:rFonts w:cs="Segoe UI"/>
                <w:b w:val="0"/>
                <w:bCs w:val="0"/>
                <w:i/>
                <w:iCs/>
                <w:color w:val="000000"/>
                <w:sz w:val="20"/>
                <w:szCs w:val="20"/>
                <w:shd w:val="clear" w:color="auto" w:fill="FFFFFF"/>
              </w:rPr>
            </w:pPr>
            <w:r>
              <w:rPr>
                <w:rFonts w:eastAsia="Times New Roman" w:cs="Segoe UI"/>
                <w:b/>
                <w:i/>
                <w:iCs/>
                <w:sz w:val="20"/>
                <w:szCs w:val="20"/>
              </w:rPr>
              <w:t>Abstract:</w:t>
            </w:r>
            <w:r>
              <w:rPr>
                <w:rFonts w:cs="Segoe UI"/>
                <w:i/>
                <w:iCs/>
                <w:sz w:val="20"/>
                <w:szCs w:val="20"/>
              </w:rPr>
              <w:t xml:space="preserve"> </w:t>
            </w:r>
            <w:r>
              <w:rPr>
                <w:rFonts w:cs="Segoe UI"/>
                <w:i/>
                <w:iCs/>
                <w:color w:val="000000"/>
                <w:sz w:val="20"/>
                <w:szCs w:val="20"/>
                <w:shd w:val="clear" w:color="auto" w:fill="FFFFFF"/>
              </w:rPr>
              <w:t xml:space="preserve">Papua is a region with complex security dynamics, marked by social and political tensions and armed conflict demanding a comprehensive, law-based approach. Within a rule-of-law state, police intelligence plays a strategic role in early detection of potential disturbances to public security and order. This authority is normatively regulated under the National Police Law, the State Intelligence Law, and internal police regulations. This study analyzes how the intelligence authority of the National Police in early detection is regulated under prevailing legislation, and how it is implemented in Papua. Using a normative legal research method through statutory and conceptual approaches, legal materials were collected through library research and analyzed using qualitative-normative legal reasoning. Findings show that although the regulatory framework provides adequate legitimacy for police intelligence functions, it remains general and lacks detailed operational boundaries, particularly for a region with special security status such as Papua. This creates a persistent gap between legal norms (das sollen) and field practice (das sein), driven by limited human resources, geographic barriers, sociocultural complexity, weak coordination, and fluctuating public trust. Left unaddressed, these gaps risk discretionary overreach, jurisdictional overlap, and human rights vulnerabilities. This study contributes to strengthening accountable, rights-respecting police intelligence governance in Papua.</w:t>
            </w:r>
          </w:p>
          <w:p w14:paraId="38071BBE" w14:textId="77777777" w:rsidR="001E0508" w:rsidRPr="00C676AF" w:rsidRDefault="001E0508" w:rsidP="001E0508">
            <w:pPr>
              <w:spacing w:after="0" w:line="240" w:lineRule="auto"/>
              <w:rPr>
                <w:rFonts w:eastAsia="Times New Roman" w:cs="Segoe UI"/>
                <w:sz w:val="20"/>
                <w:szCs w:val="20"/>
              </w:rPr>
            </w:pPr>
          </w:p>
          <w:p w14:paraId="3968C054" w14:textId="77777777" w:rsidR="00886EB8" w:rsidRDefault="00886EB8" w:rsidP="001E0508">
            <w:pPr>
              <w:spacing w:after="0" w:line="240" w:lineRule="auto"/>
              <w:rPr>
                <w:rFonts w:eastAsia="Times New Roman" w:cs="Segoe UI"/>
                <w:b/>
                <w:iCs/>
                <w:sz w:val="20"/>
                <w:szCs w:val="20"/>
              </w:rPr>
            </w:pPr>
          </w:p>
          <w:p w14:paraId="5CE97357" w14:textId="16546BC6" w:rsidR="00147D80" w:rsidRDefault="00241D17" w:rsidP="001E0508">
            <w:pPr>
              <w:spacing w:after="0" w:line="240" w:lineRule="auto"/>
              <w:rPr>
                <w:rStyle w:val="Strong"/>
                <w:rFonts w:cs="Segoe UI"/>
                <w:b w:val="0"/>
                <w:bCs w:val="0"/>
                <w:color w:val="000000"/>
                <w:sz w:val="21"/>
                <w:szCs w:val="21"/>
                <w:shd w:val="clear" w:color="auto" w:fill="FFFFFF"/>
              </w:rPr>
            </w:pPr>
            <w:r>
              <w:rPr>
                <w:rFonts w:eastAsia="Times New Roman" w:cs="Segoe UI"/>
                <w:b/>
                <w:iCs/>
                <w:sz w:val="20"/>
                <w:szCs w:val="20"/>
              </w:rPr>
              <w:t>Abstrak:</w:t>
            </w:r>
            <w:r>
              <w:rPr>
                <w:rFonts w:eastAsia="Times New Roman" w:cs="Segoe UI"/>
                <w:iCs/>
                <w:sz w:val="20"/>
                <w:szCs w:val="20"/>
              </w:rPr>
              <w:t xml:space="preserve"> </w:t>
            </w:r>
            <w:r>
              <w:rPr>
                <w:rFonts w:cs="Segoe UI"/>
                <w:color w:val="000000"/>
                <w:sz w:val="20"/>
                <w:szCs w:val="20"/>
                <w:shd w:val="clear" w:color="auto" w:fill="FFFFFF"/>
              </w:rPr>
              <w:t xml:space="preserve">Papua merupakan wilayah dengan dinamika keamanan kompleks, ditandai ketegangan sosial-politik serta konflik bersenjata yang menuntut pendekatan komprehensif dan berbasis hukum. Dalam negara hukum, intelijen kepolisian memiliki peran strategis dalam deteksi dini terhadap potensi gangguan keamanan dan ketertiban masyarakat. Kewenangan ini diatur secara normatif dalam Undang-Undang Kepolisian Negara Republik Indonesia, Undang-Undang Intelijen Negara, serta peraturan internal Polri. Penelitian ini menganalisis pengaturan kewenangan intelijen Polri dalam deteksi dini menurut peraturan perundang-undangan, serta implementasinya di Papua. Penelitian menggunakan metode hukum normatif melalui pendekatan perundang-undangan dan konseptual, dengan bahan hukum dihimpun melalui studi kepustakaan dan dianalisis secara kualitatif-normatif. Hasil penelitian menunjukkan bahwa meskipun kerangka regulasi telah memberikan legitimasi memadai bagi fungsi intelijen kepolisian, pengaturan tersebut masih bersifat umum dan belum memberikan batasan operasional yang rinci, khususnya bagi wilayah dengan status keamanan khusus seperti Papua. Kondisi ini menimbulkan kesenjangan antara norma hukum (das sollen) dan praktik implementasi (das sein), yang dipengaruhi keterbatasan sumber daya manusia, hambatan geografis, kompleksitas sosial budaya, lemahnya koordinasi antarlembaga, serta fluktuasi kepercayaan publik. Apabila tidak diatasi, kesenjangan ini berpotensi menimbulkan diskresi melampaui wewenang, tumpang tindih kewenangan, serta kerentanan pelanggaran hak asasi manusia. Penelitian ini berkontribusi bagi penguatan tata kelola intelijen kepolisian di Papua yang akuntabel dan menghormati hak asasi manusia.</w:t>
            </w:r>
          </w:p>
          <w:p w14:paraId="414A3B75" w14:textId="2EDC7993" w:rsidR="001E0508" w:rsidRPr="00332E82" w:rsidRDefault="001E0508" w:rsidP="001E0508">
            <w:pPr>
              <w:spacing w:after="0" w:line="240" w:lineRule="auto"/>
              <w:rPr>
                <w:rFonts w:eastAsia="Times New Roman" w:cs="Segoe UI"/>
                <w:iCs/>
                <w:sz w:val="20"/>
                <w:szCs w:val="20"/>
                <w:lang w:val="en-ID"/>
              </w:rPr>
            </w:pPr>
          </w:p>
        </w:tc>
      </w:tr>
      <w:tr w:rsidR="00241D17" w:rsidRPr="00C676AF" w14:paraId="72CB6547" w14:textId="77777777" w:rsidTr="00550BFE">
        <w:trPr>
          <w:trHeight w:val="161"/>
        </w:trPr>
        <w:tc>
          <w:tcPr>
            <w:tcW w:w="5000" w:type="pct"/>
            <w:gridSpan w:val="2"/>
            <w:tcBorders>
              <w:top w:val="single" w:sz="4" w:space="0" w:color="auto"/>
              <w:bottom w:val="single" w:sz="4" w:space="0" w:color="auto"/>
            </w:tcBorders>
          </w:tcPr>
          <w:p w14:paraId="0E1C67EB" w14:textId="6C572104" w:rsidR="00550BFE" w:rsidRPr="006F20C0" w:rsidRDefault="00241D17" w:rsidP="00732CD5">
            <w:pPr>
              <w:spacing w:after="0" w:line="240" w:lineRule="auto"/>
              <w:rPr>
                <w:rFonts w:cs="Segoe UI"/>
                <w:sz w:val="20"/>
                <w:szCs w:val="20"/>
              </w:rPr>
            </w:pPr>
            <w:r>
              <w:rPr>
                <w:rFonts w:cs="Segoe UI"/>
                <w:b/>
                <w:sz w:val="20"/>
                <w:szCs w:val="20"/>
              </w:rPr>
              <w:t>Informasi Artikel</w:t>
            </w:r>
            <w:r>
              <w:rPr>
                <w:rFonts w:cs="Segoe UI"/>
                <w:sz w:val="20"/>
                <w:szCs w:val="20"/>
              </w:rPr>
              <w:t xml:space="preserve">:  Diterima: -, Disetujui: -, Dipublikasikan: -</w:t>
            </w:r>
          </w:p>
        </w:tc>
      </w:tr>
    </w:tbl>
    <w:p w14:paraId="505D0FCD" w14:textId="7878117F"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2"/>
          <w:footerReference w:type="default" r:id="rId13"/>
          <w:headerReference w:type="first" r:id="rId14"/>
          <w:type w:val="continuous"/>
          <w:pgSz w:w="11906" w:h="16838" w:code="9"/>
          <w:pgMar w:top="1440" w:right="1440" w:bottom="1440" w:left="1440" w:header="709" w:footer="709" w:gutter="0"/>
          <w:cols w:space="708"/>
          <w:titlePg/>
          <w:docGrid w:linePitch="360"/>
        </w:sectPr>
      </w:pPr>
    </w:p>
    <w:p w14:paraId="3EFD5847" w14:textId="02FC486E" w:rsidR="001E0508" w:rsidRPr="001E0508" w:rsidRDefault="00E02EE7" w:rsidP="00E02EE7">
      <w:pPr>
        <w:pStyle w:val="Heading3"/>
        <w:ind w:firstLine="66"/>
      </w:pPr>
      <w:r>
        <w:t>PENDAHULUAN</w:t>
      </w:r>
    </w:p>
    <w:p w14:paraId="00000001" w14:textId="00000001"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Negara hukum menempatkan keamanan dan ketertiban masyarakat sebagai prasyarat utama bagi terwujudnya perlindungan hak-hak warga negara serta terselenggaranya kehidupan sosial yang tertib. Dalam upaya mewujudkan stabilitas keamanan nasional, aparat penegak hukum dilengkapi dengan berbagai instrumen kelembagaan, salah satunya fungsi intelijen yang berorientasi pada pencegahan dini terhadap potensi ancaman sebelum berkembang menjadi gangguan nyata.</w:t>
      </w:r>
    </w:p>
    <w:p w14:paraId="00000001" w14:textId="00000001"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Pasal 30 ayat (4) Undang-Undang Dasar Negara Republik Indonesia Tahun 1945 menegaskan bahwa Kepolisian Negara Republik Indonesia (Polri) sebagai alat negara bertugas menjaga keamanan dan ketertiban masyarakat, melindungi, mengayomi, melayani masyarakat, serta menegakkan hukum. Untuk menjalankan fungsi preventif tersebut, Polri dilengkapi dengan fungsi Intelijen Keamanan (Intelkam) yang bertugas melakukan penyelidikan, pengamanan, dan penggalangan guna menghasilkan deteksi dini (early detection) dan peringatan dini (early warning), sebagaimana diatur dalam Undang-Undang Nomor 2 Tahun 2002 tentang Kepolisian Negara Republik Indonesia dan Undang-Undang Nomor 17 Tahun 2011 tentang Intelijen Negara.</w:t>
      </w:r>
    </w:p>
    <w:p w14:paraId="00000001" w14:textId="00000001"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Papua merupakan wilayah dengan karakteristik keamanan dan ketertiban masyarakat yang berbeda dibandingkan wilayah lain di Indonesia. Sejak integrasinya ke dalam Negara Kesatuan Republik Indonesia, Papua terus menghadapi dinamika sosial, politik, dan keamanan yang kompleks, mulai dari tuntutan separatisme, konflik bersenjata dengan kelompok kriminal bersenjata (KKB), aksi kekerasan terhadap aparat dan warga sipil, hingga persoalan pelanggaran hak asasi manusia yang berulang kali menjadi sorotan nasional maupun internasional.</w:t>
      </w:r>
    </w:p>
    <w:p w14:paraId="00000001" w14:textId="00000001"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Realitas di lapangan menunjukkan bahwa implementasi kewenangan intelijen kepolisian dalam deteksi dini gangguan kamtibmas di Papua tidak selalu berjalan selaras dengan tujuan normatif yang diamanatkan peraturan perundang-undangan. Berbagai peristiwa keamanan menunjukkan bahwa deteksi dini sering kali belum mampu mencegah eskalasi konflik atau kekerasan terbuka, sementara pengaturan normatif yang ada masih bersifat umum dan belum secara rinci mengatur batasan operasional kewenangan intelijen, khususnya di wilayah dengan status keamanan khusus seperti Papua.</w:t>
      </w:r>
    </w:p>
    <w:p w14:paraId="00000001" w14:textId="00000001"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Kajian mengenai kewenangan kepolisian dan hukum administrasi negara telah banyak dilakukan, di antaranya kajian tentang teori kewenangan atribusi, delegasi, dan mandat (Ridwan, 2010) serta kajian tentang efektivitas penegakan hukum yang dipengaruhi oleh faktor hukum, aparat, sarana prasarana, masyarakat, dan budaya hukum (Soekanto, 2012). Kajian-kajian tersebut umumnya membahas kewenangan pemerintahan secara umum dan belum secara spesifik menyoroti kewenangan intelijen kepolisian dalam konteks deteksi dini di wilayah dengan kompleksitas keamanan khusus seperti Papua.</w:t>
      </w:r>
    </w:p>
    <w:p w14:paraId="00000001" w14:textId="00000001"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Berbeda dengan kajian-kajian umum tersebut, penelitian ini memfokuskan diri pada analisis yuridis normatif terhadap kewenangan intelijen kepolisian secara spesifik dalam fungsi deteksi dini gangguan kamtibmas, sekaligus mengkaji kesenjangan antara norma hukum (das sollen) dan praktik implementasinya (das sein) di wilayah Papua yang memiliki karakteristik sosial, budaya, geografis, dan politik yang unik.</w:t>
      </w:r>
    </w:p>
    <w:p w14:paraId="00000001" w14:textId="00000001"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Penelitian ini memosisikan diri sebagai kajian hukum normatif yang menilai kesesuaian antara pengaturan kewenangan Intelkam Polri dengan praktik implementatifnya di Papua, dengan menempatkan teori negara hukum, teori kewenangan, dan teori keamanan dan ketertiban masyarakat sebagai kerangka analisis utama, guna menilai apakah pelaksanaan fungsi intelijen telah mencerminkan prinsip legalitas, akuntabilitas, dan penghormatan terhadap hak asasi manusia.</w:t>
      </w:r>
    </w:p>
    <w:p w14:paraId="00000001" w14:textId="00000001"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Berdasarkan uraian di atas, penelitian ini bertujuan untuk mengetahui pengaturan kewenangan intelijen Kepolisian Negara Republik Indonesia dalam deteksi dini gangguan keamanan dan ketertiban masyarakat menurut peraturan perundang-undangan, serta untuk mengetahui implementasi kewenangan intelijen kepolisian dalam deteksi dini gangguan keamanan dan ketertiban masyarakat di Papua.</w:t>
      </w:r>
    </w:p>
    <w:p w14:paraId="00000001" w14:textId="00000001"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Secara teoretis, penelitian ini diharapkan memperkaya kajian hukum kepolisian dan hukum administrasi negara, khususnya mengenai konsep kewenangan negara, diskresi aparat kepolisian, serta batasan hukum dalam pelaksanaan fungsi intelijen. Secara praktis, penelitian ini diharapkan menjadi bahan pertimbangan bagi pembentuk kebijakan, Polri, dan masyarakat Papua dalam mewujudkan pelaksanaan fungsi deteksi dini yang efektif, akuntabel, dan berorientasi pada penghormatan hak asasi manusia.</w:t>
      </w:r>
    </w:p>
    <w:p w14:paraId="00000001" w14:textId="00000001"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Urgensi penelitian ini semakin terasa mengingat kewenangan intelijen yang bersifat tertutup (covert activities) memiliki risiko tinggi terhadap penyalahgunaan wewenang apabila tidak diimbangi dengan mekanisme pengawasan yang memadai, sehingga analisis yuridis terhadap implementasi kewenangan Intelkam Polri di Papua menjadi kontribusi penting bagi penguatan tata kelola keamanan yang berlandaskan hukum sekaligus menghormati hak-hak konstitusional warga negara.</w:t>
      </w:r>
    </w:p>
    <w:p w14:paraId="1382B788" w14:textId="468BF956" w:rsidR="001E0508" w:rsidRPr="001C62FB" w:rsidRDefault="001C62FB" w:rsidP="00955050">
      <w:pPr>
        <w:pStyle w:val="Heading3"/>
        <w:ind w:left="1134" w:right="322" w:hanging="425"/>
      </w:pPr>
      <w:r>
        <w:t xml:space="preserve">METODOLOGI PENELITIAN </w:t>
      </w:r>
    </w:p>
    <w:p w14:paraId="00000010" w14:textId="0000001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Bagian metodologi ini menjelaskan secara rinci bagaimana penelitian dilaksanakan, mencakup jenis dan pendekatan penelitian, sumber dan jenis bahan hukum, teknik pengumpulan bahan hukum, serta teknik analisis bahan hukum yang digunakan untuk menjawab rumusan masalah mengenai pengaturan dan implementasi kewenangan intelijen kepolisian dalam deteksi dini gangguan keamanan dan ketertiban masyarakat di Papua.</w:t>
      </w:r>
    </w:p>
    <w:p w14:paraId="00000011" w14:textId="00000011" w:rsidR="00955050" w:rsidRDefault="00955050" w:rsidP="00955050">
      <w:pPr>
        <w:pStyle w:val="Heading2"/>
        <w:rPr>
          <w:lang w:val="sv-SE"/>
        </w:rPr>
      </w:pPr>
      <w:r>
        <w:rPr>
          <w:lang w:val="sv-SE"/>
        </w:rPr>
        <w:t>2.1 Jenis dan Pendekatan Penelitian</w:t>
      </w:r>
    </w:p>
    <w:p w14:paraId="00000010" w14:textId="0000001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Penelitian ini merupakan penelitian hukum normatif (normative legal research), yaitu penelitian yang mengkaji hukum sebagai norma atau kaidah yang berlaku dalam sistem hukum positif, dengan menitikberatkan pada telaah terhadap ketentuan peraturan perundang-undangan, asas-asas hukum, serta doktrin hukum yang berkaitan dengan kewenangan Intelijen Kepolisian Negara Republik Indonesia dalam deteksi dini gangguan keamanan dan ketertiban masyarakat di Papua (Sugiyono, 2021). Pendekatan yang digunakan meliputi pendekatan perundang-undangan (statute approach), yang dilakukan dengan menelaah Undang-Undang Nomor 2 Tahun 2002 tentang Kepolisian Negara Republik Indonesia beserta peraturan pelaksananya, dan pendekatan konseptual (conceptual approach), yang digunakan untuk mengkaji konsep kewenangan, teori peran, serta teori keamanan dan ketertiban masyarakat sebagai landasan analisis dalam penelitian ini.</w:t>
      </w:r>
    </w:p>
    <w:p w14:paraId="00000011" w14:textId="00000011" w:rsidR="00955050" w:rsidRDefault="00955050" w:rsidP="00955050">
      <w:pPr>
        <w:pStyle w:val="Heading2"/>
        <w:rPr>
          <w:lang w:val="sv-SE"/>
        </w:rPr>
      </w:pPr>
      <w:r>
        <w:rPr>
          <w:lang w:val="sv-SE"/>
        </w:rPr>
        <w:t>2.2 Sumber dan Jenis Bahan Hukum</w:t>
      </w:r>
    </w:p>
    <w:p w14:paraId="00000010" w14:textId="0000001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Sumber data dalam penelitian hukum normatif ini berupa bahan hukum yang diperoleh melalui studi kepustakaan (library research), yang diklasifikasikan ke dalam bahan hukum primer, sekunder, dan tersier. Bahan hukum primer meliputi Undang-Undang Nomor 2 Tahun 2002 tentang Kepolisian Negara Republik Indonesia, Undang-Undang Nomor 17 Tahun 2011 tentang Intelijen Negara, Undang-Undang Nomor 30 Tahun 2014 tentang Administrasi Pemerintahan, serta Peraturan Kepala Kepolisian Negara Republik Indonesia Nomor 22 Tahun 2010 tentang Susunan Organisasi dan Tata Kerja pada Tingkat Kepolisian Daerah juncto Peraturan Kepolisian Negara Republik Indonesia Nomor 14 Tahun 2018. Bahan hukum sekunder meliputi literatur, hasil penelitian, jurnal ilmiah, serta pendapat para ahli hukum yang berkaitan dengan konsep kewenangan, hukum administrasi negara, dan intelijen keamanan. Bahan hukum tersier meliputi kamus hukum dan ensiklopedia hukum yang membantu memahami istilah dan konsep dalam penelitian ini.</w:t>
      </w:r>
    </w:p>
    <w:p w14:paraId="00000011" w14:textId="00000011" w:rsidR="00955050" w:rsidRDefault="00955050" w:rsidP="00955050">
      <w:pPr>
        <w:pStyle w:val="Heading2"/>
        <w:rPr>
          <w:lang w:val="sv-SE"/>
        </w:rPr>
      </w:pPr>
      <w:r>
        <w:rPr>
          <w:lang w:val="sv-SE"/>
        </w:rPr>
        <w:t>2.3 Teknik Pengumpulan Bahan Hukum</w:t>
      </w:r>
    </w:p>
    <w:p w14:paraId="00000010" w14:textId="0000001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Bahan hukum dikumpulkan melalui penelitian kepustakaan (library research) dengan menelaah bahan-bahan pustaka, peraturan perundang-undangan, hasil penelitian, dan dokumen resmi yang berkaitan dengan objek penelitian (Sekaran &amp; Bougie, 2017). Bahan hukum yang telah dikumpulkan kemudian diinventarisasi dan diklasifikasikan sesuai dengan isu hukum yang diteliti, guna memudahkan penelusuran ruang lingkup kewenangan, bentuk pelimpahan wewenang, serta batasan normatif dalam pelaksanaan fungsi intelijen kepolisian.</w:t>
      </w:r>
    </w:p>
    <w:p w14:paraId="00000011" w14:textId="00000011" w:rsidR="00955050" w:rsidRDefault="00955050" w:rsidP="00955050">
      <w:pPr>
        <w:pStyle w:val="Heading2"/>
        <w:rPr>
          <w:lang w:val="sv-SE"/>
        </w:rPr>
      </w:pPr>
      <w:r>
        <w:rPr>
          <w:lang w:val="sv-SE"/>
        </w:rPr>
        <w:t>2.4 Teknik Analisis Bahan Hukum</w:t>
      </w:r>
    </w:p>
    <w:p w14:paraId="00000010" w14:textId="0000001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Analisis bahan hukum dilakukan dengan metode analisis kualitatif normatif, yang menitikberatkan pada penalaran hukum (legal reasoning) untuk menafsirkan, mengkonstruksikan, dan mengkaji norma hukum yang mengatur kewenangan Intelkam Polri (Miles et al., 2014). Analisis dilakukan dengan menafsirkan ketentuan hukum berdasarkan asas-asas hukum administrasi negara, konsep kewenangan atribusi, delegasi, dan mandat, serta teori keamanan dan ketertiban masyarakat, guna menilai kesesuaian antara norma hukum yang berlaku dengan praktik implementasi deteksi dini di Papua. Analisis diakhiri dengan penalaran hukum secara preskriptif untuk menarik kesimpulan normatif mengenai bagaimana seharusnya kewenangan Intelkam Polri diimplementasikan berdasarkan kerangka hukum yang berlaku.</w:t>
      </w:r>
    </w:p>
    <w:p w14:paraId="12B5585A" w14:textId="6E9841B4" w:rsidR="001E0508" w:rsidRPr="001C62FB" w:rsidRDefault="006F0069" w:rsidP="006F0069">
      <w:pPr>
        <w:pStyle w:val="Heading3"/>
        <w:ind w:left="1134" w:hanging="283"/>
      </w:pPr>
      <w:r>
        <w:rPr>
          <w:iCs/>
        </w:rPr>
        <w:t>HASIL DA</w:t>
      </w:r>
      <w:r>
        <w:t>N PEMBAHASAN</w:t>
      </w:r>
    </w:p>
    <w:p w14:paraId="00000020" w14:textId="0000002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Bagian ini menyajikan temuan penelitian sekaligus analisis kritis mengenai pengaturan dan implementasi kewenangan Intelijen Keamanan Kepolisian Negara Republik Indonesia (Intelkam Polri) dalam deteksi dini gangguan keamanan dan ketertiban masyarakat, yang disusun secara terpadu untuk menjawab kedua rumusan masalah penelitian ini.</w:t>
      </w:r>
    </w:p>
    <w:p w14:paraId="00000021" w14:textId="00000021" w:rsidR="00955050" w:rsidRDefault="00955050" w:rsidP="00955050">
      <w:pPr>
        <w:pStyle w:val="Heading2"/>
        <w:rPr>
          <w:lang w:val="sv-SE"/>
        </w:rPr>
      </w:pPr>
      <w:r>
        <w:rPr>
          <w:lang w:val="sv-SE"/>
        </w:rPr>
        <w:t>3.1 Pengaturan Kewenangan Intelijen Kepolisian Negara Republik Indonesia dalam Deteksi Dini Gangguan Keamanan dan Ketertiban Masyarakat Menurut Peraturan Perundang-Undangan</w:t>
      </w:r>
    </w:p>
    <w:p w14:paraId="00000020" w14:textId="0000002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Prinsip negara hukum ditegaskan dalam Pasal 1 ayat (3) Undang-Undang Dasar Negara Republik Indonesia Tahun 1945 yang menyatakan bahwa Indonesia adalah negara hukum, bukan negara kekuasaan (machtsstaat). Konsekuensinya, seluruh penyelenggaraan kekuasaan negara, termasuk kewenangan Kepolisian Negara Republik Indonesia (Polri), harus memiliki dasar hukum yang jelas, dilaksanakan sesuai ketentuan peraturan perundang-undangan, serta dapat dipertanggungjawabkan secara yuridis dan administratif (Republik Indonesia, 1945).</w:t>
      </w:r>
    </w:p>
    <w:p w14:paraId="00000020" w14:textId="0000002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Dalam teori negara hukum (rechtsstaat) yang dikemukakan oleh Friedrich Julius Stahl, terdapat empat unsur pokok yang harus dipenuhi, yaitu perlindungan hak asasi manusia, pembagian kekuasaan, pemerintahan berdasarkan peraturan perundang-undangan, serta peradilan administrasi yang menjamin perlindungan terhadap tindakan pemerintah. Sejalan dengan itu, A.V. Dicey mengemukakan konsep rule of law yang menekankan supremasi hukum, persamaan di hadapan hukum (equality before the law), serta jaminan terhadap hak-hak individu melalui mekanisme hukum. Kedua pandangan tersebut memberikan landasan konseptual bahwa setiap tindakan aparat negara, termasuk aparat intelijen kepolisian, harus selalu berada dalam koridor hukum guna mencegah penyalahgunaan kewenangan.</w:t>
      </w:r>
    </w:p>
    <w:p w14:paraId="00000020" w14:textId="0000002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Landasan konstitusional mengenai kedudukan Polri diatur dalam Pasal 30 ayat (4) UUD 1945, yang menegaskan bahwa Polri sebagai alat negara yang menjaga keamanan dan ketertiban masyarakat bertugas melindungi, mengayomi, melayani masyarakat, serta menegakkan hukum. Ketentuan ini menunjukkan bahwa fungsi kepolisian tidak hanya bersifat represif, melainkan juga preventif, sehingga Polri berkewajiban melakukan berbagai upaya pencegahan agar gangguan keamanan tidak berkembang menjadi ancaman yang lebih besar.</w:t>
      </w:r>
    </w:p>
    <w:p w14:paraId="00000020" w14:textId="0000002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Pengaturan lebih lanjut mengenai fungsi dan tugas Polri dituangkan dalam Undang-Undang Nomor 2 Tahun 2002 tentang Kepolisian Negara Republik Indonesia (Republik Indonesia, 2002). Pasal 2 undang-undang tersebut menegaskan bahwa fungsi kepolisian merupakan salah satu fungsi pemerintahan negara di bidang pemeliharaan keamanan dan ketertiban masyarakat, penegakan hukum, perlindungan, pengayoman, dan pelayanan kepada masyarakat, sedangkan Pasal 13 menentukan tiga tugas pokok Polri, yaitu memelihara keamanan dan ketertiban masyarakat, menegakkan hukum, serta memberikan perlindungan, pengayoman, dan pelayanan kepada masyarakat. Ketiga tugas pokok tersebut merupakan satu kesatuan yang tidak dapat dipisahkan, dengan pemeliharaan keamanan dan ketertiban masyarakat sebagai fondasi utama sebelum fungsi penegakan hukum dilaksanakan.</w:t>
      </w:r>
    </w:p>
    <w:p w14:paraId="00000020" w14:textId="0000002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Pendekatan preventif tersebut menjadi dasar berkembangnya fungsi Intelijen Keamanan (Intelkam) di lingkungan Polri, yang berperan mengumpulkan informasi, melakukan analisis, mengidentifikasi potensi ancaman, serta memberikan peringatan dini kepada pimpinan. Dalam perspektif hukum administrasi negara, kewenangan Polri, termasuk kewenangan Intelkam, merupakan bentuk kewenangan atribusi karena diberikan langsung oleh undang-undang. Sebagaimana dikemukakan oleh Philipus M. Hadjon, kewenangan pemerintahan dapat diperoleh melalui atribusi, delegasi, dan mandat, dan kewenangan atribusi merupakan kewenangan asli yang diberikan oleh undang-undang kepada suatu organ negara, sehingga seluruh tindakan Intelkam harus selalu merujuk pada kewenangan atribusi yang diberikan oleh Undang-Undang Nomor 2 Tahun 2002.</w:t>
      </w:r>
    </w:p>
    <w:p w14:paraId="00000020" w14:textId="0000002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Selain berdasarkan Undang-Undang Kepolisian, legitimasi terhadap penyelenggaraan fungsi intelijen diperkuat melalui Undang-Undang Nomor 17 Tahun 2011 tentang Intelijen Negara (Republik Indonesia, 2011). Pasal 4 undang-undang tersebut menyatakan bahwa Intelijen Negara berfungsi melakukan penyelidikan, pengamanan, dan penggalangan untuk menghasilkan deteksi dini (early detection) dan peringatan dini (early warning) dalam rangka pencegahan, penanggulangan, dan penindakan terhadap ancaman keamanan nasional, sedangkan Pasal 7 mengakui keberadaan Intelijen Kepolisian sebagai bagian dari penyelenggara Intelijen Negara. Ketentuan ini menegaskan bahwa orientasi utama fungsi intelijen adalah tindakan preventif, bukan represif.</w:t>
      </w:r>
    </w:p>
    <w:p w14:paraId="00000020" w14:textId="0000002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Pengaturan yang bersifat umum dalam tingkat undang-undang tersebut kemudian dijabarkan lebih rinci melalui Peraturan Kepala Kepolisian Negara Republik Indonesia Nomor 22 Tahun 2010 tentang Susunan Organisasi dan Tata Kerja pada Tingkat Kepolisian Daerah juncto Peraturan Kepolisian Negara Republik Indonesia Nomor 14 Tahun 2018 (Kepolisian Negara Republik Indonesia, 2010, 2018). Berdasarkan peraturan tersebut, Direktorat Intelijen Keamanan (Ditintelkam) Polda memiliki kewenangan melaksanakan kegiatan penyelidikan intelijen (intelligence collection), pengamanan (security intelligence), penggalangan (intelligence operation), pembinaan jaringan intelijen, pengumpulan dan pengolahan informasi, penyusunan prakiraan intelijen (intelligence estimate), hingga penyampaian peringatan dini kepada pimpinan.</w:t>
      </w:r>
    </w:p>
    <w:p w14:paraId="00000020" w14:textId="0000002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Meskipun kewenangan Intelkam relatif luas, penggunaannya tidak dapat dimaknai tanpa batas. Setiap tindakan pejabat pemerintahan, termasuk aparat Intelkam, harus tetap tunduk pada asas-asas umum pemerintahan yang baik (Algemene Beginselen van Behoorlijk Bestuur), antara lain asas kepastian hukum, kecermatan, proporsionalitas, keterbukaan, tidak menyalahgunakan kewenangan, dan akuntabilitas. Dari perspektif hak asasi manusia, pengumpulan informasi oleh aparat intelijen juga harus memperhatikan prinsip necessity (kebutuhan), proportionality (proporsionalitas), legality (legalitas), dan accountability (akuntabilitas) guna memastikan bahwa pelaksanaan fungsi intelijen tidak bertentangan dengan hak konstitusional warga negara.</w:t>
      </w:r>
    </w:p>
    <w:p w14:paraId="00000020" w14:textId="0000002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Berdasarkan uraian tersebut dapat dipahami bahwa landasan konstitusional dan yuridis mengenai kewenangan Intelijen Kepolisian dalam melaksanakan deteksi dini telah tersedia secara berjenjang, mulai dari UUD 1945, Undang-Undang Nomor 2 Tahun 2002, Undang-Undang Nomor 17 Tahun 2011, hingga Perkap Nomor 22 Tahun 2010 juncto Perpol Nomor 14 Tahun 2018. Ketiga peraturan tersebut membentuk kerangka hukum yang memberikan legitimasi terhadap penyelenggaraan fungsi Intelkam sebagai bagian dari sistem keamanan nasional. Meskipun demikian, pengaturan pada tingkat undang-undang masih bersifat umum sehingga memerlukan pengaturan yang lebih teknis mengenai mekanisme operasional, batas-batas kewenangan, tata cara pelaksanaan deteksi dini, serta sistem pengawasan terhadap kegiatan intelijen, khususnya bagi wilayah dengan status keamanan khusus seperti Papua.</w:t>
      </w:r>
    </w:p>
    <w:p w14:paraId="00000021" w14:textId="00000021" w:rsidR="00955050" w:rsidRDefault="00955050" w:rsidP="00955050">
      <w:pPr>
        <w:pStyle w:val="Heading2"/>
        <w:rPr>
          <w:lang w:val="sv-SE"/>
        </w:rPr>
      </w:pPr>
      <w:r>
        <w:rPr>
          <w:lang w:val="sv-SE"/>
        </w:rPr>
        <w:t>3.2 Implementasi Kewenangan Intelijen Kepolisian dalam Deteksi Dini Gangguan Keamanan dan Ketertiban Masyarakat di Papua</w:t>
      </w:r>
    </w:p>
    <w:p w14:paraId="00000020" w14:textId="0000002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Implementasi kewenangan Intelkam Polri dalam deteksi dini gangguan kamtibmas di Papua merupakan bentuk konkret pelaksanaan fungsi preventif kepolisian sebagaimana diamanatkan Undang-Undang Nomor 2 Tahun 2002. Dalam perspektif negara hukum, implementasi tersebut tidak dapat dipandang sekadar aktivitas operasional kepolisian, melainkan sebagai bentuk pelaksanaan kewenangan pemerintahan yang harus didasarkan pada asas legalitas, sehingga setiap tindakan aparat Intelkam merupakan manifestasi dari prinsip bahwa seluruh tindakan pemerintah harus bersumber pada hukum (government under the law).</w:t>
      </w:r>
    </w:p>
    <w:p w14:paraId="00000020" w14:textId="0000002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Implementasi kewenangan Intelkam diwujudkan melalui tiga fungsi utama yang saling berkaitan, yaitu penyelidikan (intelligence collection), pengamanan (security intelligence), dan penggalangan (intelligence operation). Tahapan pertama, penyelidikan intelijen, dilakukan melalui pengumpulan informasi mengenai perkembangan situasi keamanan dari berbagai sumber, baik sumber terbuka (open source intelligence), sumber tertutup (human intelligence), laporan masyarakat, media massa, media sosial, maupun observasi langsung personel di lapangan. Dalam konteks Papua, proses pengumpulan informasi memiliki tingkat kompleksitas yang jauh lebih tinggi dibandingkan daerah lain, mengingat luas wilayah, kondisi geografis yang didominasi pegunungan dan hutan tropis, serta keberagaman suku, bahasa, dan adat istiadat yang menuntut personel Intelkam memahami karakteristik lokal sebelum melakukan pengumpulan informasi.</w:t>
      </w:r>
    </w:p>
    <w:p w14:paraId="00000020" w14:textId="0000002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Tahap berikutnya adalah pengolahan dan analisis informasi. Informasi yang diperoleh dari lapangan belum dapat disebut sebagai produk intelijen sebelum melalui proses verifikasi, validasi, klasifikasi, dan analisis, yang kemudian dituangkan dalam berbagai bentuk produk intelijen, antara lain laporan informasi, analisis intelijen, perkiraan keadaan, hingga peringatan dini (early warning). Produk intelijen tersebut menjadi dasar bagi pimpinan kepolisian dalam menentukan kebijakan operasional, sehingga keberhasilan suatu operasi kepolisian pada dasarnya sangat dipengaruhi oleh kualitas analisis yang dihasilkan oleh Intelkam. Dalam perspektif implementasi kebijakan publik yang dikemukakan George C. Edwards III, keberhasilan implementasi suatu kewenangan dipengaruhi oleh empat faktor, yaitu komunikasi, sumber daya, disposisi pelaksana, dan struktur birokrasi, yang seluruhnya tampak relevan dalam pelaksanaan fungsi Intelkam di Papua.</w:t>
      </w:r>
    </w:p>
    <w:p w14:paraId="00000020" w14:textId="0000002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Implementasi kewenangan Intelkam di Papua juga diwujudkan melalui penyusunan prakiraan intelijen (intelligence estimate) yang bersifat prediktif, pelaksanaan Joint Analysis sebagai forum koordinasi antara Intelkam Polri, Badan Intelijen Negara (BIN), Badan Intelijen Strategis (BAIS) TNI, dan pemerintah daerah, kegiatan penggalangan melalui pendekatan kepada tokoh adat, tokoh agama, dan tokoh masyarakat, serta pemetaan wilayah rawan (mapping of vulnerability) berdasarkan indikator riwayat konflik, kondisi sosial ekonomi, dan keberadaan objek vital. Perkembangan teknologi informasi turut memengaruhi implementasi tersebut, dengan pemanfaatan analisis media digital untuk mengidentifikasi potensi penyebaran hoaks, ujaran kebencian, dan mobilisasi massa, sepanjang tetap memperhatikan ketentuan mengenai perlindungan hak privasi dan data pribadi warga negara.</w:t>
      </w:r>
    </w:p>
    <w:p w14:paraId="00000020" w14:textId="0000002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Meskipun kerangka hukum bagi pelaksanaan fungsi Intelkam relatif memadai, analisis terhadap praktik implementasinya di Papua menunjukkan adanya kesenjangan antara norma hukum (das sollen) dan realitas pelaksanaannya (das sein). Konsep das sollen menggambarkan kondisi ideal sebagaimana dikehendaki peraturan perundang-undangan, sedangkan das sein menunjukkan fakta empiris mengenai bagaimana kewenangan tersebut dijalankan dalam praktik, dan perbedaan antara keduanya merupakan fenomena yang lazim ditemukan dalam pelaksanaan hukum administrasi negara pada bidang yang bersifat tertutup (covert operation) seperti intelijen.</w:t>
      </w:r>
    </w:p>
    <w:p w14:paraId="00000020" w14:textId="0000002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Kesenjangan pertama terletak pada keterbatasan pengaturan mengenai prosedur operasional deteksi dini. Undang-Undang Nomor 17 Tahun 2011 mengatur fungsi penyelidikan, pengamanan, dan penggalangan secara umum, tetapi tidak mengatur secara rinci mengenai metode operasional yang dapat digunakan Intelkam dalam mengumpulkan informasi terhadap masyarakat, sehingga pelaksanaannya lebih banyak didasarkan pada standar operasional internal kepolisian yang tidak seluruhnya dapat diakses publik karena alasan kerahasiaan negara. Dari perspektif negara hukum, kondisi ini menimbulkan persoalan kepastian hukum (legal certainty) karena masyarakat tidak mengetahui secara jelas batas-batas kewenangan aparat dalam melakukan kegiatan intelijen.</w:t>
      </w:r>
    </w:p>
    <w:p w14:paraId="00000020" w14:textId="0000002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Kesenjangan kedua berkaitan dengan perbedaan antara pendekatan normatif dengan kebutuhan operasional di lapangan. Norma hukum menghendaki agar seluruh tindakan aparat dilaksanakan berdasarkan asas legalitas, tetapi dalam praktik intelijen sering muncul situasi yang memerlukan tindakan cepat sehingga aparat menggunakan diskresi kepolisian untuk menentukan langkah yang dianggap paling tepat. Penggunaan diskresi pada dasarnya diperbolehkan dalam hukum administrasi negara sepanjang memenuhi syarat sebagaimana diatur dalam Undang-Undang Nomor 30 Tahun 2014 tentang Administrasi Pemerintahan (Republik Indonesia, 2014), namun penggunaannya tetap harus dapat dipertanggungjawabkan secara hukum agar tidak berubah menjadi tindakan yang melampaui kewenangan.</w:t>
      </w:r>
    </w:p>
    <w:p w14:paraId="00000020" w14:textId="0000002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Kesenjangan ketiga terletak pada aspek transparansi dan akuntabilitas. Kerahasiaan merupakan syarat mutlak agar sumber informasi tetap terlindungi dan operasi intelijen dapat berjalan efektif, namun prinsip kerahasiaan tidak boleh menghilangkan prinsip akuntabilitas. Di Papua, mekanisme pengawasan terhadap pelaksanaan fungsi Intelkam lebih banyak dilakukan secara internal melalui sistem pengawasan di lingkungan Polri, sementara pengawasan eksternal masih relatif terbatas, sehingga menimbulkan tantangan bagi masyarakat untuk mengetahui apakah suatu tindakan intelijen telah dilaksanakan sesuai ketentuan hukum.</w:t>
      </w:r>
    </w:p>
    <w:p w14:paraId="00000020" w14:textId="0000002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Kesenjangan keempat berkaitan dengan pendekatan sosial budaya. Papua memiliki keragaman budaya yang sangat tinggi dengan ratusan kelompok etnis dan sistem adat yang berbeda-beda, sehingga aparat Intelkam dituntut memahami karakteristik sosial masyarakat sebelum melaksanakan kegiatan intelijen. Dalam praktiknya, tidak seluruh personel memiliki pemahaman yang memadai mengenai budaya lokal, sehingga pendekatan yang digunakan terkadang kurang sesuai dengan nilai-nilai adat dan menimbulkan kesalahpahaman bahkan penolakan terhadap kehadiran aparat. Menurut Soerjono Soekanto, keberhasilan penegakan hukum tidak hanya dipengaruhi oleh faktor hukum dan aparat penegak hukum, tetapi juga oleh faktor masyarakat dan kebudayaan (Soekanto, 2012), sehingga efektivitas deteksi dini di Papua tidak dapat dilepaskan dari kemampuan aparat memahami budaya hukum masyarakat setempat.</w:t>
      </w:r>
    </w:p>
    <w:p w14:paraId="00000020" w14:textId="0000002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Kesenjangan kelima berkaitan dengan koordinasi antarpenyelenggara intelijen. Undang-Undang Nomor 17 Tahun 2011 menghendaki agar seluruh penyelenggara intelijen negara saling berkoordinasi, tetapi dalam praktik masih terdapat potensi tumpang tindih kewenangan antara Intelkam Polri, BIN, dan BAIS TNI, karena masing-masing lembaga memiliki sistem pengumpulan informasi, analisis, dan produk intelijen tersendiri. Di Papua, koordinasi tersebut mulai diperkuat melalui pelaksanaan Joint Analysis dan berbagai forum komunikasi intelijen, meskipun efektivitasnya masih memerlukan peningkatan, khususnya dalam pertukaran data dan integrasi informasi.</w:t>
      </w:r>
    </w:p>
    <w:p w14:paraId="00000020" w14:textId="0000002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Selain kesenjangan normatif tersebut, implementasi deteksi dini di Papua juga dihadapkan pada berbagai hambatan struktural. Dari aspek sumber daya manusia, tidak seluruh personel Intelkam yang ditempatkan di Papua memiliki pemahaman memadai mengenai kondisi sosial, politik, ekonomi, budaya, dan keamanan (IPOLEKSOSBUDKAM) setempat, sehingga memerlukan waktu adaptasi yang memengaruhi kualitas informasi yang diperoleh. Dari aspek sarana dan prasarana, keterbatasan akses internet dan jaringan komunikasi di wilayah pedalaman menghambat penyampaian laporan intelijen secara real time, sehingga mengurangi efektivitas sistem peringatan dini. Dari aspek geografis, kondisi wilayah pegunungan, hutan tropis, dan kepulauan yang hanya dapat dijangkau melalui jalur udara, sungai, atau berjalan kaki turut memperlambat kecepatan respons aparat terhadap perkembangan situasi keamanan.</w:t>
      </w:r>
    </w:p>
    <w:p w14:paraId="00000020" w14:textId="0000002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Hambatan lain berasal dari aspek kepercayaan masyarakat (public trust). Dinamika keamanan yang berlangsung bertahun-tahun di Papua menyebabkan tingkat kepercayaan masyarakat terhadap aparat keamanan belum sepenuhnya optimal, sehingga sebagian masyarakat memandang kegiatan intelijen sebagai bentuk pengawasan berlebihan yang menimbulkan sikap tertutup ketika aparat melakukan pendekatan. Dalam perspektif kepolisian modern (community policing), hubungan kemitraan antara aparat dan masyarakat menjadi faktor utama terciptanya keamanan yang berkelanjutan, sehingga semakin tinggi kepercayaan masyarakat, semakin mudah aparat memperoleh informasi yang akurat mengenai potensi gangguan keamanan. Dari aspek regulasi, Undang-Undang Nomor 17 Tahun 2011 belum mengatur secara rinci mengenai batas operasional penggunaan metode intelijen, sehingga menimbulkan ruang interpretasi yang cukup luas dan berpotensi menyebabkan perbedaan pelaksanaan di lapangan.</w:t>
      </w:r>
    </w:p>
    <w:p w14:paraId="00000020" w14:textId="0000002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Kesenjangan dan hambatan tersebut membawa implikasi terhadap prinsip negara hukum. Menurut teori kewenangan yang dikemukakan Philipus M. Hadjon, penggunaan kewenangan pemerintahan harus memenuhi tiga unsur, yaitu kewenangan yang sah (legal authority), prosedur yang benar (due process), dan tujuan yang sesuai dengan pemberian kewenangan (doelmatigheid). Apabila salah satu unsur tersebut tidak terpenuhi, penggunaan kewenangan dapat dikategorikan sebagai penyalahgunaan wewenang (abuse of power) atau tindakan yang menyimpang dari tujuan pemberian kewenangan (detournement de pouvoir), sehingga implementasi Intelkam harus selalu tunduk pada asas-asas umum pemerintahan yang baik.</w:t>
      </w:r>
    </w:p>
    <w:p w14:paraId="00000020" w14:textId="0000002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Dari perspektif hak asasi manusia, kegiatan deteksi dini yang melibatkan pengumpulan informasi mengenai individu maupun kelompok tertentu berpotensi bersinggungan dengan hak atas privasi, kebebasan berekspresi, dan kebebasan berkumpul. Namun, perlindungan hak asasi manusia tidak berarti menghilangkan kewenangan negara dalam menjaga keamanan nasional, karena pembatasan terhadap hak tertentu dimungkinkan sepanjang dilakukan berdasarkan hukum, bertujuan melindungi kepentingan umum, diperlukan dalam masyarakat demokratis, dan dilaksanakan secara proporsional. Kegiatan Intelkam yang dilaksanakan berdasarkan peraturan perundang-undangan dan secara profesional pada prinsipnya tidak bertentangan dengan hak asasi manusia, sebaliknya pelaksanaan yang sewenang-wenang atau melampaui tujuan pemberian kewenangan berpotensi menimbulkan pelanggaran hak asasi manusia dan berdampak negatif terhadap kepercayaan publik.</w:t>
      </w:r>
    </w:p>
    <w:p w14:paraId="00000020" w14:textId="00000020" w:rsidR="00E02EE7" w:rsidRPr="00E02EE7" w:rsidRDefault="00E02EE7" w:rsidP="00E02EE7">
      <w:pPr>
        <w:pStyle w:val="IEEEParagraph"/>
        <w:ind w:left="567" w:right="322" w:firstLine="567"/>
        <w:rPr>
          <w:rFonts w:ascii="Segoe UI" w:hAnsi="Segoe UI" w:cs="Segoe UI"/>
          <w:sz w:val="22"/>
          <w:szCs w:val="22"/>
          <w:shd w:val="clear" w:color="auto" w:fill="FFFFFF"/>
          <w:lang w:val="sv-SE"/>
        </w:rPr>
      </w:pPr>
      <w:r>
        <w:rPr>
          <w:rStyle w:val="longtext"/>
          <w:rFonts w:ascii="Segoe UI" w:hAnsi="Segoe UI" w:cs="Segoe UI"/>
          <w:sz w:val="22"/>
          <w:szCs w:val="22"/>
          <w:shd w:val="clear" w:color="auto" w:fill="FFFFFF"/>
          <w:lang w:val="sv-SE"/>
        </w:rPr>
        <w:t xml:space="preserve">Pada akhirnya, keberhasilan implementasi kewenangan Intelkam di Papua turut menentukan efektivitas sistem keamanan nasional secara keseluruhan, karena produk intelijen yang berkualitas memungkinkan negara mengambil langkah preventif sebelum suatu ancaman berkembang menjadi gangguan yang lebih besar. Dalam kedudukannya sebagai first line of prevention atau garda terdepan sistem pencegahan gangguan keamanan, Intelkam memerlukan penguatan pada aspek regulasi, profesionalisme personel, koordinasi antarinstansi, dukungan sarana teknologi, serta pendekatan yang lebih adaptif terhadap karakteristik sosial budaya masyarakat Papua, agar tujuan pemeliharaan keamanan dan ketertiban masyarakat dapat tercapai tanpa mengorbankan prinsip negara hukum dan hak asasi manusia.</w:t>
      </w:r>
    </w:p>
    <w:p w14:paraId="17E3A12B" w14:textId="5E31EBBF" w:rsidR="001E0508" w:rsidRPr="00EA7E75" w:rsidRDefault="00985560" w:rsidP="00985560">
      <w:pPr>
        <w:pStyle w:val="Heading3"/>
        <w:ind w:left="993" w:hanging="426"/>
      </w:pPr>
      <w:r>
        <w:t>KESIMPULAN</w:t>
      </w:r>
    </w:p>
    <w:p w14:paraId="00000030" w14:textId="00000030" w:rsidR="00985560" w:rsidRPr="00985560" w:rsidRDefault="00985560" w:rsidP="00985560">
      <w:pPr>
        <w:pStyle w:val="IEEEParagraph"/>
        <w:ind w:left="567" w:right="322" w:firstLine="567"/>
        <w:rPr>
          <w:rStyle w:val="longtext"/>
          <w:rFonts w:ascii="Segoe UI" w:hAnsi="Segoe UI" w:cs="Segoe UI"/>
          <w:sz w:val="22"/>
          <w:szCs w:val="22"/>
          <w:shd w:val="clear" w:color="auto" w:fill="FFFFFF"/>
          <w:lang w:val="fi-FI"/>
        </w:rPr>
      </w:pPr>
      <w:r>
        <w:rPr>
          <w:rStyle w:val="longtext"/>
          <w:rFonts w:ascii="Segoe UI" w:hAnsi="Segoe UI" w:cs="Segoe UI"/>
          <w:sz w:val="22"/>
          <w:szCs w:val="22"/>
          <w:shd w:val="clear" w:color="auto" w:fill="FFFFFF"/>
          <w:lang w:val="fi-FI"/>
        </w:rPr>
        <w:t xml:space="preserve">Berdasarkan hasil penelitian dan pembahasan di atas, dapat disimpulkan bahwa pengaturan kewenangan intelijen Kepolisian Negara Republik Indonesia dalam deteksi dini gangguan keamanan dan ketertiban masyarakat secara normatif telah diatur secara berjenjang, mulai dari Pasal 30 ayat (4) Undang-Undang Dasar Negara Republik Indonesia Tahun 1945, Undang-Undang Nomor 2 Tahun 2002 tentang Kepolisian Negara Republik Indonesia, Undang-Undang Nomor 17 Tahun 2011 tentang Intelijen Negara, hingga Peraturan Kepala Kepolisian Negara Republik Indonesia Nomor 22 Tahun 2010 juncto Peraturan Kepolisian Negara Republik Indonesia Nomor 14 Tahun 2018. Namun, pengaturan tersebut masih bersifat umum dan belum memberikan batasan operasional yang jelas serta terukur mengenai mekanisme pelaksanaan kewenangan intelijen kepolisian, khususnya dalam konteks wilayah dengan tingkat kerawanan keamanan yang kompleks seperti Papua. Ketiadaan pengaturan yang rinci mengenai batas kewenangan, mekanisme koordinasi antarlembaga intelijen, serta sistem pengawasan yang efektif dan akuntabel telah menciptakan kesenjangan yang signifikan antara norma hukum (das sollen) dan praktik implementasi (das sein), yang berpotensi mencederai prinsip negara hukum (rechtsstaat) apabila diskresi yang luas tidak diimbangi dengan pengawasan yang memadai.</w:t>
      </w:r>
    </w:p>
    <w:p w14:paraId="00000030" w14:textId="00000030" w:rsidR="00985560" w:rsidRPr="00985560" w:rsidRDefault="00985560" w:rsidP="00985560">
      <w:pPr>
        <w:pStyle w:val="IEEEParagraph"/>
        <w:ind w:left="567" w:right="322" w:firstLine="567"/>
        <w:rPr>
          <w:rStyle w:val="longtext"/>
          <w:rFonts w:ascii="Segoe UI" w:hAnsi="Segoe UI" w:cs="Segoe UI"/>
          <w:sz w:val="22"/>
          <w:szCs w:val="22"/>
          <w:shd w:val="clear" w:color="auto" w:fill="FFFFFF"/>
          <w:lang w:val="fi-FI"/>
        </w:rPr>
      </w:pPr>
      <w:r>
        <w:rPr>
          <w:rStyle w:val="longtext"/>
          <w:rFonts w:ascii="Segoe UI" w:hAnsi="Segoe UI" w:cs="Segoe UI"/>
          <w:sz w:val="22"/>
          <w:szCs w:val="22"/>
          <w:shd w:val="clear" w:color="auto" w:fill="FFFFFF"/>
          <w:lang w:val="fi-FI"/>
        </w:rPr>
        <w:t xml:space="preserve">Implementasi kewenangan intelijen kepolisian dalam deteksi dini gangguan kamtibmas di Papua pada praktiknya tidak selalu berjalan selaras dengan tujuan normatif yang diamanatkan oleh peraturan perundang-undangan. Meskipun implementasi tersebut telah diwujudkan melalui rangkaian proses intelijen yang meliputi penyelidikan, analisis, penyusunan prakiraan intelijen, koordinasi antarinstansi melalui Joint Analysis, kegiatan penggalangan, dan pemetaan wilayah rawan, berbagai peristiwa keamanan menunjukkan bahwa fungsi deteksi dini sering kali belum mampu secara efektif mencegah eskalasi konflik atau kekerasan terbuka. Kesenjangan antara norma dan praktik ini diperparah oleh keterbatasan sumber daya manusia, sarana dan prasarana, kondisi geografis yang sulit dijangkau, karakteristik sosial budaya masyarakat Papua yang unik, fluktuasi kepercayaan publik terhadap aparat keamanan, serta lemahnya koordinasi antarpenyelenggara intelijen. Dalam banyak situasi, kegiatan intelijen kepolisian yang seharusnya berfungsi sebagai instrumen pencegahan justru dipersepsikan masyarakat sebagai bentuk pengawasan yang berlebihan, yang pada akhirnya berpotensi memperburuk relasi antara aparat kepolisian dan masyarakat sipil serta menimbulkan implikasi terhadap perlindungan hak asasi manusia dan efektivitas sistem keamanan nasional.</w:t>
      </w:r>
    </w:p>
    <w:p w14:paraId="00000030" w14:textId="00000030" w:rsidR="00985560" w:rsidRPr="00985560" w:rsidRDefault="00985560" w:rsidP="00985560">
      <w:pPr>
        <w:pStyle w:val="IEEEParagraph"/>
        <w:ind w:left="567" w:right="322" w:firstLine="567"/>
        <w:rPr>
          <w:rStyle w:val="longtext"/>
          <w:rFonts w:ascii="Segoe UI" w:hAnsi="Segoe UI" w:cs="Segoe UI"/>
          <w:sz w:val="22"/>
          <w:szCs w:val="22"/>
          <w:shd w:val="clear" w:color="auto" w:fill="FFFFFF"/>
          <w:lang w:val="fi-FI"/>
        </w:rPr>
      </w:pPr>
      <w:r>
        <w:rPr>
          <w:rStyle w:val="longtext"/>
          <w:rFonts w:ascii="Segoe UI" w:hAnsi="Segoe UI" w:cs="Segoe UI"/>
          <w:sz w:val="22"/>
          <w:szCs w:val="22"/>
          <w:shd w:val="clear" w:color="auto" w:fill="FFFFFF"/>
          <w:lang w:val="fi-FI"/>
        </w:rPr>
        <w:t xml:space="preserve">Sejalan dengan simpulan tersebut, pemerintah bersama Dewan Perwakilan Rakyat dan Kepolisian Negara Republik Indonesia perlu melakukan penyempurnaan regulasi yang lebih spesifik dan teknis mengenai kewenangan intelijen kepolisian, dengan memuat batasan operasional yang jelas, standar prosedur operasi yang menghormati hak asasi manusia, mekanisme koordinasi yang tegas antarlembaga intelijen di Papua, serta sistem pengawasan internal dan eksternal yang transparan dan akuntabel. Penguatan tersebut penting agar pelaksanaan fungsi deteksi dini tidak hanya efektif mencegah gangguan kamtibmas, tetapi juga tetap berada dalam koridor supremasi hukum tanpa mengorbankan hak-hak konstitusional warga negara.</w:t>
      </w:r>
    </w:p>
    <w:p w14:paraId="00000030" w14:textId="00000030" w:rsidR="00985560" w:rsidRPr="00985560" w:rsidRDefault="00985560" w:rsidP="00985560">
      <w:pPr>
        <w:pStyle w:val="IEEEParagraph"/>
        <w:ind w:left="567" w:right="322" w:firstLine="567"/>
        <w:rPr>
          <w:rStyle w:val="longtext"/>
          <w:rFonts w:ascii="Segoe UI" w:hAnsi="Segoe UI" w:cs="Segoe UI"/>
          <w:sz w:val="22"/>
          <w:szCs w:val="22"/>
          <w:shd w:val="clear" w:color="auto" w:fill="FFFFFF"/>
          <w:lang w:val="fi-FI"/>
        </w:rPr>
      </w:pPr>
      <w:r>
        <w:rPr>
          <w:rStyle w:val="longtext"/>
          <w:rFonts w:ascii="Segoe UI" w:hAnsi="Segoe UI" w:cs="Segoe UI"/>
          <w:sz w:val="22"/>
          <w:szCs w:val="22"/>
          <w:shd w:val="clear" w:color="auto" w:fill="FFFFFF"/>
          <w:lang w:val="fi-FI"/>
        </w:rPr>
        <w:t xml:space="preserve">Penelitian selanjutnya disarankan untuk mengembangkan kajian ini dengan pendekatan yuridis-empiris guna menggali lebih dalam perspektif masyarakat Papua, kelompok masyarakat sipil, maupun aparat keamanan di tingkat bawah mengenai persepsi dan dampak nyata dari kegiatan intelijen kepolisian. Kajian komparatif mengenai penerapan fungsi intelijen kepolisian di wilayah konflik lain, baik di dalam maupun luar negeri, juga penting dilakukan untuk merumuskan model tata kelola intelijen yang mampu menjaga keseimbangan antara kepentingan keamanan nasional dan penghormatan terhadap hak asasi manusia.</w:t>
      </w:r>
    </w:p>
    <w:p w14:paraId="310B877E" w14:textId="77777777" w:rsidR="001E0508" w:rsidRPr="00EA7E75" w:rsidRDefault="001E0508" w:rsidP="001E0508">
      <w:pPr>
        <w:pStyle w:val="IEEEHeading1"/>
        <w:numPr>
          <w:ilvl w:val="0"/>
          <w:numId w:val="0"/>
        </w:numPr>
        <w:ind w:firstLine="567"/>
        <w:jc w:val="both"/>
        <w:rPr>
          <w:rFonts w:ascii="Segoe UI" w:hAnsi="Segoe UI" w:cs="Segoe UI"/>
          <w:b/>
          <w:bCs/>
          <w:sz w:val="24"/>
          <w:lang w:val="sv-SE"/>
        </w:rPr>
      </w:pPr>
      <w:r>
        <w:rPr>
          <w:rFonts w:ascii="Segoe UI" w:hAnsi="Segoe UI" w:cs="Segoe UI"/>
          <w:b/>
          <w:bCs/>
          <w:sz w:val="24"/>
          <w:lang w:val="sv-SE"/>
        </w:rPr>
        <w:t>Referensi</w:t>
      </w:r>
    </w:p>
    <w:p w14:paraId="28173D81" w14:textId="27E6DEB2" w:rsidR="003A4408" w:rsidRDefault="003A4408" w:rsidP="00354464">
      <w:pPr>
        <w:spacing w:line="240" w:lineRule="auto"/>
        <w:ind w:left="567" w:right="645"/>
        <w:rPr>
          <w:rFonts w:cs="Segoe UI"/>
        </w:rPr>
      </w:pPr>
      <w:r>
        <w:rPr>
          <w:rFonts w:cs="Segoe UI"/>
        </w:rPr>
        <w:t>Referensi yang digunakan mengikuti gaya sitasi / kutipan dengan format American Psychological Association (APA Style 7</w:t>
      </w:r>
      <w:r>
        <w:rPr>
          <w:rFonts w:cs="Segoe UI"/>
          <w:vertAlign w:val="superscript"/>
        </w:rPr>
        <w:t>th</w:t>
      </w:r>
      <w:r>
        <w:rPr>
          <w:rFonts w:cs="Segoe UI"/>
        </w:rPr>
        <w:t xml:space="preserve"> edition). Gunakan reference manager seperti Zotero / Mendeley agar kutipan yang anda gunakan konsisten dan sesuai dengan standar penulisan. Referensi yang digunakan sebaiknya berasal dari sumber-sumber primer serta mutakhir (Maksimal 7 tahun terakhir). Untuk gaya penulisan referensi dapat dilihat seperti contoh di bawah ini.</w:t>
      </w:r>
    </w:p>
    <w:p w14:paraId="00000040" w14:textId="00000040"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Kepolisian Negara Republik Indonesia. (2010). </w:t>
      </w:r>
      <w:r>
        <w:rPr>
          <w:rFonts w:cs="Segoe UI"/>
          <w:i/>
          <w:iCs/>
          <w:noProof/>
        </w:rPr>
        <w:t xml:space="preserve">Peraturan Kepala Kepolisian Negara Republik Indonesia Nomor 22 Tahun 2010 tentang Susunan Organisasi dan Tata Kerja pada Tingkat Kepolisian Daerah</w:t>
      </w:r>
      <w:r>
        <w:rPr>
          <w:rFonts w:cs="Segoe UI"/>
          <w:noProof/>
        </w:rPr>
        <w:t xml:space="preserve">.</w:t>
      </w:r>
    </w:p>
    <w:p w14:paraId="00000040" w14:textId="00000040"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Kepolisian Negara Republik Indonesia. (2018). </w:t>
      </w:r>
      <w:r>
        <w:rPr>
          <w:rFonts w:cs="Segoe UI"/>
          <w:i/>
          <w:iCs/>
          <w:noProof/>
        </w:rPr>
        <w:t xml:space="preserve">Peraturan Kepolisian Negara Republik Indonesia Nomor 14 Tahun 2018</w:t>
      </w:r>
      <w:r>
        <w:rPr>
          <w:rFonts w:cs="Segoe UI"/>
          <w:noProof/>
        </w:rPr>
        <w:t xml:space="preserve">.</w:t>
      </w:r>
    </w:p>
    <w:p w14:paraId="00000040" w14:textId="00000040"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Miles, M. B., Huberman, A. M., &amp; Saldana, J. (2014). </w:t>
      </w:r>
      <w:r>
        <w:rPr>
          <w:rFonts w:cs="Segoe UI"/>
          <w:i/>
          <w:iCs/>
          <w:noProof/>
        </w:rPr>
        <w:t xml:space="preserve">Qualitative data analysis: A methods sourcebook</w:t>
      </w:r>
      <w:r>
        <w:rPr>
          <w:rFonts w:cs="Segoe UI"/>
          <w:noProof/>
        </w:rPr>
        <w:t xml:space="preserve"> (3rd ed.). SAGE Publications.</w:t>
      </w:r>
    </w:p>
    <w:p w14:paraId="00000040" w14:textId="00000040"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Republik Indonesia. (1945). </w:t>
      </w:r>
      <w:r>
        <w:rPr>
          <w:rFonts w:cs="Segoe UI"/>
          <w:i/>
          <w:iCs/>
          <w:noProof/>
        </w:rPr>
        <w:t xml:space="preserve">Undang-Undang Dasar Negara Republik Indonesia Tahun 1945</w:t>
      </w:r>
      <w:r>
        <w:rPr>
          <w:rFonts w:cs="Segoe UI"/>
          <w:noProof/>
        </w:rPr>
        <w:t xml:space="preserve">.</w:t>
      </w:r>
    </w:p>
    <w:p w14:paraId="00000040" w14:textId="00000040"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Republik Indonesia. (2002). </w:t>
      </w:r>
      <w:r>
        <w:rPr>
          <w:rFonts w:cs="Segoe UI"/>
          <w:i/>
          <w:iCs/>
          <w:noProof/>
        </w:rPr>
        <w:t xml:space="preserve">Undang-Undang Nomor 2 Tahun 2002 tentang Kepolisian Negara Republik Indonesia</w:t>
      </w:r>
      <w:r>
        <w:rPr>
          <w:rFonts w:cs="Segoe UI"/>
          <w:noProof/>
        </w:rPr>
        <w:t xml:space="preserve">.</w:t>
      </w:r>
    </w:p>
    <w:p w14:paraId="00000040" w14:textId="00000040"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Republik Indonesia. (2011). </w:t>
      </w:r>
      <w:r>
        <w:rPr>
          <w:rFonts w:cs="Segoe UI"/>
          <w:i/>
          <w:iCs/>
          <w:noProof/>
        </w:rPr>
        <w:t xml:space="preserve">Undang-Undang Nomor 17 Tahun 2011 tentang Intelijen Negara</w:t>
      </w:r>
      <w:r>
        <w:rPr>
          <w:rFonts w:cs="Segoe UI"/>
          <w:noProof/>
        </w:rPr>
        <w:t xml:space="preserve">.</w:t>
      </w:r>
    </w:p>
    <w:p w14:paraId="00000040" w14:textId="00000040"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Republik Indonesia. (2014). </w:t>
      </w:r>
      <w:r>
        <w:rPr>
          <w:rFonts w:cs="Segoe UI"/>
          <w:i/>
          <w:iCs/>
          <w:noProof/>
        </w:rPr>
        <w:t xml:space="preserve">Undang-Undang Nomor 30 Tahun 2014 tentang Administrasi Pemerintahan</w:t>
      </w:r>
      <w:r>
        <w:rPr>
          <w:rFonts w:cs="Segoe UI"/>
          <w:noProof/>
        </w:rPr>
        <w:t xml:space="preserve">.</w:t>
      </w:r>
    </w:p>
    <w:p w14:paraId="00000040" w14:textId="00000040"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Ridwan, H.R. (2010). </w:t>
      </w:r>
      <w:r>
        <w:rPr>
          <w:rFonts w:cs="Segoe UI"/>
          <w:i/>
          <w:iCs/>
          <w:noProof/>
        </w:rPr>
        <w:t xml:space="preserve">Hukum administrasi negara</w:t>
      </w:r>
      <w:r>
        <w:rPr>
          <w:rFonts w:cs="Segoe UI"/>
          <w:noProof/>
        </w:rPr>
        <w:t xml:space="preserve"> (Edisi revisi). Rajawali Pers.</w:t>
      </w:r>
    </w:p>
    <w:p w14:paraId="00000040" w14:textId="00000040"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Sekaran, U., &amp; Bougie, R. (2017). </w:t>
      </w:r>
      <w:r>
        <w:rPr>
          <w:rFonts w:cs="Segoe UI"/>
          <w:i/>
          <w:iCs/>
          <w:noProof/>
        </w:rPr>
        <w:t xml:space="preserve">Research methods for business</w:t>
      </w:r>
      <w:r>
        <w:rPr>
          <w:rFonts w:cs="Segoe UI"/>
          <w:noProof/>
        </w:rPr>
        <w:t xml:space="preserve"> (6th ed.). Salemba Empat.</w:t>
      </w:r>
    </w:p>
    <w:p w14:paraId="00000040" w14:textId="00000040"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Soekanto, S. (2012). </w:t>
      </w:r>
      <w:r>
        <w:rPr>
          <w:rFonts w:cs="Segoe UI"/>
          <w:i/>
          <w:iCs/>
          <w:noProof/>
        </w:rPr>
        <w:t xml:space="preserve">Faktor-faktor yang mempengaruhi penegakan hukum</w:t>
      </w:r>
      <w:r>
        <w:rPr>
          <w:rFonts w:cs="Segoe UI"/>
          <w:noProof/>
        </w:rPr>
        <w:t xml:space="preserve">. Rajawali Pers.</w:t>
      </w:r>
    </w:p>
    <w:p w14:paraId="00000040" w14:textId="00000040" w:rsidR="003A4408" w:rsidRPr="003A4408" w:rsidRDefault="003A4408" w:rsidP="00354464">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Sugiyono. (2021). </w:t>
      </w:r>
      <w:r>
        <w:rPr>
          <w:rFonts w:cs="Segoe UI"/>
          <w:i/>
          <w:iCs/>
          <w:noProof/>
        </w:rPr>
        <w:t xml:space="preserve">Metode penelitian pendidikan (kuantitatif, kualitatif, kombinasi, R&amp;D dan penelitian pendidikan)</w:t>
      </w:r>
      <w:r>
        <w:rPr>
          <w:rFonts w:cs="Segoe UI"/>
          <w:noProof/>
        </w:rPr>
        <w:t xml:space="preserve">. Alfabeta.</w:t>
      </w:r>
    </w:p>
    <w:sectPr w:rsidR="003A4408" w:rsidRPr="003A4408"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F5A0F" w14:textId="77777777" w:rsidR="007B39CF" w:rsidRDefault="007B39CF" w:rsidP="009B0AF6">
      <w:pPr>
        <w:spacing w:after="0" w:line="240" w:lineRule="auto"/>
      </w:pPr>
      <w:r>
        <w:separator/>
      </w:r>
    </w:p>
  </w:endnote>
  <w:endnote w:type="continuationSeparator" w:id="0">
    <w:p w14:paraId="018179EC" w14:textId="77777777" w:rsidR="007B39CF" w:rsidRDefault="007B39CF"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377CDAE4" w14:textId="2CC26036"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1E0508" w:rsidRPr="00950641">
          <w:rPr>
            <w:rFonts w:cs="Segoe UI"/>
            <w:noProof/>
            <w:sz w:val="18"/>
            <w:szCs w:val="18"/>
            <w:lang w:val="fi-FI"/>
          </w:rPr>
          <w:t>Rimba Putra Praja1*</w:t>
        </w:r>
      </w:p>
      <w:p w14:paraId="0CF919DE" w14:textId="5F133840"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F0FEE" w14:textId="77777777" w:rsidR="007B39CF" w:rsidRDefault="007B39CF" w:rsidP="009B0AF6">
      <w:pPr>
        <w:spacing w:after="0" w:line="240" w:lineRule="auto"/>
      </w:pPr>
      <w:r>
        <w:separator/>
      </w:r>
    </w:p>
  </w:footnote>
  <w:footnote w:type="continuationSeparator" w:id="0">
    <w:p w14:paraId="15167E39" w14:textId="77777777" w:rsidR="007B39CF" w:rsidRDefault="007B39CF"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C4B0" w14:textId="7C2A82EB"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257B" w14:textId="40673AD6"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3"/>
  </w:num>
  <w:num w:numId="2" w16cid:durableId="1655797796">
    <w:abstractNumId w:val="4"/>
  </w:num>
  <w:num w:numId="3" w16cid:durableId="1178079948">
    <w:abstractNumId w:val="2"/>
  </w:num>
  <w:num w:numId="4" w16cid:durableId="1530794457">
    <w:abstractNumId w:val="0"/>
  </w:num>
  <w:num w:numId="5" w16cid:durableId="184361769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50179"/>
    <w:rsid w:val="00471F0C"/>
    <w:rsid w:val="00476608"/>
    <w:rsid w:val="004865A9"/>
    <w:rsid w:val="00491740"/>
    <w:rsid w:val="004B7C52"/>
    <w:rsid w:val="00521D13"/>
    <w:rsid w:val="005362BB"/>
    <w:rsid w:val="00550BFE"/>
    <w:rsid w:val="00581638"/>
    <w:rsid w:val="00587FB4"/>
    <w:rsid w:val="0059044B"/>
    <w:rsid w:val="005B7859"/>
    <w:rsid w:val="005C6A72"/>
    <w:rsid w:val="005D710E"/>
    <w:rsid w:val="005E1485"/>
    <w:rsid w:val="00613274"/>
    <w:rsid w:val="006269EE"/>
    <w:rsid w:val="00633241"/>
    <w:rsid w:val="006658E1"/>
    <w:rsid w:val="00676A1B"/>
    <w:rsid w:val="006F0069"/>
    <w:rsid w:val="006F20C0"/>
    <w:rsid w:val="0071791D"/>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46F89"/>
    <w:rsid w:val="00866359"/>
    <w:rsid w:val="00886EB8"/>
    <w:rsid w:val="00891C46"/>
    <w:rsid w:val="008A53F7"/>
    <w:rsid w:val="008B13FE"/>
    <w:rsid w:val="00935A9E"/>
    <w:rsid w:val="00942C5B"/>
    <w:rsid w:val="00950641"/>
    <w:rsid w:val="00955050"/>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8692C"/>
    <w:rsid w:val="00A93261"/>
    <w:rsid w:val="00AA1DA5"/>
    <w:rsid w:val="00AC334E"/>
    <w:rsid w:val="00AD7C4B"/>
    <w:rsid w:val="00B0079C"/>
    <w:rsid w:val="00B024E4"/>
    <w:rsid w:val="00B34841"/>
    <w:rsid w:val="00B34CDD"/>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E0180"/>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E02EE7"/>
    <w:rsid w:val="00E05BB1"/>
    <w:rsid w:val="00E109A4"/>
    <w:rsid w:val="00E3722F"/>
    <w:rsid w:val="00E37C1B"/>
    <w:rsid w:val="00E538A0"/>
    <w:rsid w:val="00E854CC"/>
    <w:rsid w:val="00EA7010"/>
    <w:rsid w:val="00EA7E75"/>
    <w:rsid w:val="00EB308B"/>
    <w:rsid w:val="00ED73C9"/>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912F9"/>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imba@ukipaulus.ac.id"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4591</Words>
  <Characters>26169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Dr. Johannes Baptista Halik,SE.,MM.,CDM</cp:lastModifiedBy>
  <cp:revision>4</cp:revision>
  <cp:lastPrinted>2023-04-17T18:59:00Z</cp:lastPrinted>
  <dcterms:created xsi:type="dcterms:W3CDTF">2026-01-24T05:16:00Z</dcterms:created>
  <dcterms:modified xsi:type="dcterms:W3CDTF">2026-01-24T05:29:00Z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