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Analisis Yuridis Pertimbangan Hakim dan Proporsionalitas Pidana Penggelapan dalam Jabatan (Putusan Nomor 1339/Pid.B/2023/PN Mks)</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Rony Celcius Kasman</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rony@ukipaulus.ac.id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embezzlement in office, judicial reasoning, proportionality of punishment, Article 374 of the Indonesian Criminal Code, sentencing disparity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penggelapan dalam jabatan, pertimbangan hakim, proporsionalitas pidana, Pasal 374 KUHP, disparitas pemidanaan</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Embezzlement in office is an aggravated form of embezzlement arising from the abuse of trust within an employment relationship. This study analyses the legal reasoning of the panel of judges and assesses the proportionality of the sentence imposed in Makassar District Court Decision Number 1339/Pid.B/2023/PN Mks, which convicted a salesperson who failed to remit customer receivables amounting to IDR 81,658,953 to his employer. The study applies normative legal research using a legal case study, a statute approach, and a conceptual approach; the legal materials are analysed descriptively and qualitatively. The findings show that the reasoning at the evidentiary stage complies with the applicable provisions, since every element of Article 374 of the Criminal Code was systematically confronted with the facts established at trial. The reasoning underpinning the severity of the sentence, however, was not elaborated to a comparable standard. The sentence of one year and ten months reaches only about 36.7 per cent of the five-year statutory maximum and carries no obligation to restore the victim's loss, so that the purposes of utility and corrective justice are not optimally achieved. It recommends strengthening sentencing reasoning and making loss restoration a condition for mitigation under Law Number 1 of 2023.</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Penggelapan dalam jabatan merupakan bentuk penggelapan berkualifikasi yang lahir dari penyalahgunaan kepercayaan dalam hubungan kerja. Penelitian ini bertujuan menganalisis pertimbangan hukum majelis hakim serta menilai proporsionalitas pidana yang dijatuhkan dalam Putusan Pengadilan Negeri Makassar Nomor 1339/Pid.B/2023/PN Mks, yang menghukum seorang tenaga penjualan karena tidak menyetorkan uang tagihan pelanggan senilai Rp81.658.953,00 kepada perusahaan. Penelitian menggunakan metode penelitian hukum normatif dengan pendekatan studi kasus hukum, pendekatan perundang-undangan, dan pendekatan konseptual; bahan hukum dianalisis secara deskriptif-kualitatif. Hasil penelitian menunjukkan bahwa pertimbangan hukum majelis hakim pada tahap pembuktian telah sesuai dengan ketentuan yang berlaku karena seluruh unsur Pasal 374 KUHP dikonfrontasikan secara sistematis dengan fakta-fakta persidangan. Namun, pertimbangan pada tahap penentuan berat ringannya pidana tidak dielaborasi secara sebanding. Pidana penjara satu tahun sepuluh bulan hanya mencapai sekitar 36,7% dari ancaman maksimum lima tahun dan tidak disertai kewajiban pemulihan kerugian, sehingga tujuan kemanfaatan dan keadilan korektif tidak tercapai secara optimal. Penelitian merekomendasikan penguatan pertimbangan pemidanaan dan pengintegrasian pemulihan kerugian korban sebagai syarat peringanan pidana, sejalan dengan pedoman pemidanaan dalam Undang-Undang Nomor 1 Tahun 2023.</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Hubungan kerja modern dibangun di atas fondasi kepercayaan. Perusahaan menyerahkan penguasaan atas barang, dokumen, dan uang kepada pekerja bukan karena pekerja memiliki hak kebendaan atasnya, melainkan karena posisi dan fungsi yang melekat pada pekerjaannya. Ketika kepercayaan itu diselewengkan, kerugian yang timbul tidak berhenti pada aspek finansial, tetapi merambat pada tata kelola perusahaan dan kepercayaan publik terhadap institusi bisnis (Sutopo dkk., 2024). Dalam kerangka hukum pidana Indonesia, penyelewengan semacam ini dikonstruksikan sebagai tindak pidana penggelapan dalam jabatan, yaitu bentuk penggelapan berkualifikasi yang justru diperberat karena pelakunya memperoleh penguasaan atas barang melalui jalan yang sah.</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Kitab Undang-Undang Hukum Pidana (KUHP) mengatur penggelapan dalam Bab XXIV, yakni Pasal 372 sampai dengan Pasal 377. Pasal 372 KUHP memuat bentuk pokoknya, sedangkan Pasal 374 KUHP memuat bentuk yang diperberat (</w:t>
      </w:r>
      <w:r>
        <w:rPr>
          <w:rStyle w:val="longtext"/>
          <w:rFonts w:ascii="Segoe UI" w:hAnsi="Segoe UI" w:cs="Segoe UI"/>
          <w:i/>
          <w:iCs/>
          <w:sz w:val="22"/>
          <w:szCs w:val="22"/>
          <w:shd w:val="clear" w:color="auto" w:fill="FFFFFF"/>
          <w:lang w:val="id"/>
        </w:rPr>
        <w:t xml:space="preserve">gequalificeerde verduistering</w:t>
      </w:r>
      <w:r>
        <w:rPr>
          <w:rStyle w:val="longtext"/>
          <w:rFonts w:ascii="Segoe UI" w:hAnsi="Segoe UI" w:cs="Segoe UI"/>
          <w:sz w:val="22"/>
          <w:szCs w:val="22"/>
          <w:shd w:val="clear" w:color="auto" w:fill="FFFFFF"/>
          <w:lang w:val="id"/>
        </w:rPr>
        <w:t xml:space="preserve">) apabila penguasaan pelaku atas barang disebabkan oleh adanya hubungan kerja, pencarian, atau karena mendapat upah untuk itu, dengan ancaman pidana penjara paling lama lima tahun. Soesilo (1995) menegaskan bahwa perbedaan mendasar antara pencurian dan penggelapan terletak pada cara perolehan barang: pada pencurian barang belum berada dalam kekuasaan pelaku, sedangkan pada penggelapan barang telah berada dalam kekuasaannya bukan karena kejahatan. Karim dan Haeranah (2016) menempatkan Pasal 374 KUHP sebagai gabungan unsur Pasal 372 KUHP ditambah unsur pemberat berupa hubungan kerja, sementara Gunadi dan Efendi (2019) mengategorikannya sebagai penggelapan dengan pemberatan.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Salah satu perkara yang merepresentasikan konstruksi tersebut adalah Putusan Pengadilan Negeri Makassar Nomor 1339/Pid.B/2023/PN Mks. Terdakwa berkedudukan sebagai tenaga penjualan pada PT Kassaki Indo Baja, sebuah distributor bahan bangunan, sejak 22 Oktober 2021 dan menerima upah bulanan sebesar Rp5.500.000,00. Tugasnya meliputi pencarian pesanan dan penagihan kepada pelanggan yang telah jatuh tempo. Pada 26 Juli 2023 di kawasan Pergudangan Pelita Agro, Kelurahan Parangloe, Kecamatan Tamalanrea, Kota Makassar, terdakwa menerima pembayaran dari dua pelanggan, yaitu Toko Tanete di Kabupaten Bantaeng dan Toko Sanjaya Aluminium di Kabupaten Sinjai, tetapi tidak menyetorkan uang tersebut kepada kasir perusahaan. Perusahaan menderita kerugian sebesar Rp81.658.953,00 yang digunakan terdakwa untuk membayar pinjaman daring dan berjudi daring.</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Majelis hakim menyatakan terdakwa terbukti secara sah dan meyakinkan bersalah melakukan penggelapan dalam jabatan sebagaimana dakwaan primair, kemudian menjatuhkan pidana penjara selama satu tahun sepuluh bulan. Di sinilah persoalan hukum muncul. Pembuktian unsur delik diuraikan secara rinci, tetapi penentuan berat ringannya pidana tidak memperoleh porsi pertimbangan yang sebanding. Pidana yang dijatuhkan hanya sekitar 36,7% dari ancaman maksimum, sementara kerugian korban tidak dipulihkan melalui amar putusan. Pertanyaan yang muncul kemudian adalah apakah putusan demikian telah memenuhi ketiga tujuan hukum secara seimbang, yakni keadilan, kepastian hukum, dan kemanfaatan.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penggelapan dalam jabatan telah dilakukan dari berbagai sudut. Seregig dkk. (2022) memetakan pertimbangan yuridis dan nonyuridis hakim dalam menjatuhkan sanksi. Pakpahan (2020) menyoroti penegakan hukum terhadap pelaku yang menduduki posisi manajerial. Manusiwa dkk. (2024) memfokuskan analisisnya pada terpenuhinya unsur pertanggungjawaban pidana dalam Putusan Nomor 260/Pid.B/2023/PN Spt. Sutopo dkk. (2024) menilai dasar pertimbangan hakim dalam Putusan Nomor 2206/Pid.B/2023/PN Sby dan menyimpulkan putusan tersebut proporsional meskipun kurang memperhatikan pemulihan kerugian korban. Anggalana dan Juliansa (2024) meneliti penggelapan yang dilakukan penagih utang dalam Putusan Nomor 16/Pid.B/2023/PN Tjk, sedangkan Ichsan dan Harris (2025) menegaskan karakter Pasal 374 KUHP sebagai delik formil sehingga pengembalian barang tidak menghapus pertanggungjawaban pidana.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Kajian-kajian tersebut kuat pada dimensi pembuktian dan pertanggungjawaban pidana, tetapi umumnya berhenti ketika unsur delik dinyatakan terpenuhi. Penilaian terhadap kuantum pidana masih jarang diuji secara terukur, baik terhadap ancaman maksimum dalam pasal yang didakwakan maupun terhadap putusan-putusan sejenis pada perkara dengan karakter serupa. Selain itu, belum banyak kajian yang membaca putusan penggelapan dalam jabatan dalam konteks transisi menuju Undang-Undang Nomor 1 Tahun 2023 tentang Kitab Undang-Undang Hukum Pidana, padahal kodifikasi tersebut menambah alternatif jenis pidana bagi delik bersangkutan.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terpenuhinya unsur delik dan bentuk pertanggungjawaban pidana, penelitian ini menitikberatkan analisisnya pada dua hal, yaitu kualitas penalaran majelis hakim pada tahap penjatuhan pidana, dan proporsionalitas kuantum pidana apabila diukur dengan ancaman maksimum, praktik putusan sejenis, serta arah kebijakan pemidanaan dalam KUHP Nasional.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menganalisis pertimbangan hukum hakim dalam tindak pidana penggelapan dalam jabatan berdasarkan Putusan Pengadilan Negeri Makassar Nomor 1339/Pid.B/2023/PN Mks; dan kedua, melakukan analisis yuridis atas putusan hakim dalam perkara tersebut, khususnya terhadap proporsionalitas pidana yang dijatuhkan.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penalaran hukum dengan menempatkan tahap penentuan berat ringannya pidana sebagai objek analisis yang setara dengan tahap pembuktian. Secara praktis, temuan penelitian menjadi bahan refleksi bagi penuntut umum dalam menyusun tuntutan, bagi hakim dalam menguraikan pertimbangan pemidanaan, serta bagi pelaku usaha dalam memperkuat pengendalian internal atas penagihan piutang.</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Karena objek penelitian berupa satu putusan pengadilan, uraian metodologis difokuskan pada cara bahan hukum dikumpulkan, diverifikasi, dan diolah menjadi argumentasi yuridis.</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 yaitu penelitian yang menempatkan norma hukum dan penerapannya dalam putusan pengadilan sebagai objek kajian utama (Marzuki, 2014). Pendekatan yang digunakan bersifat gabungan. Pertama, pendekatan studi kasus hukum (</w:t>
      </w:r>
      <w:r>
        <w:rPr>
          <w:rStyle w:val="longtext"/>
          <w:rFonts w:ascii="Segoe UI" w:hAnsi="Segoe UI" w:cs="Segoe UI"/>
          <w:i/>
          <w:iCs/>
          <w:sz w:val="22"/>
          <w:szCs w:val="22"/>
          <w:shd w:val="clear" w:color="auto" w:fill="FFFFFF"/>
          <w:lang w:val="id"/>
        </w:rPr>
        <w:t xml:space="preserve">legal case study</w:t>
      </w:r>
      <w:r>
        <w:rPr>
          <w:rStyle w:val="longtext"/>
          <w:rFonts w:ascii="Segoe UI" w:hAnsi="Segoe UI" w:cs="Segoe UI"/>
          <w:sz w:val="22"/>
          <w:szCs w:val="22"/>
          <w:shd w:val="clear" w:color="auto" w:fill="FFFFFF"/>
          <w:lang w:val="id"/>
        </w:rPr>
        <w:t xml:space="preserve">) yang menempatkan Putusan Pengadilan Negeri Makassar Nomor 1339/Pid.B/2023/PN Mks sebagai kasus tunggal yang dianalisis secara mendalam, mulai dari surat dakwaan, fakta persidangan, pertimbangan hukum, hingga amar putusan. Kedua,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kesesuaian penerapan Pasal 374 KUHP serta ketentuan hukum acara dan kekuasaan kehakiman yang relevan. Ketiga,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konsep pertimbangan hukum, </w:t>
      </w:r>
      <w:r>
        <w:rPr>
          <w:rStyle w:val="longtext"/>
          <w:rFonts w:ascii="Segoe UI" w:hAnsi="Segoe UI" w:cs="Segoe UI"/>
          <w:i/>
          <w:iCs/>
          <w:sz w:val="22"/>
          <w:szCs w:val="22"/>
          <w:shd w:val="clear" w:color="auto" w:fill="FFFFFF"/>
          <w:lang w:val="id"/>
        </w:rPr>
        <w:t xml:space="preserve">ratio decidendi</w:t>
      </w:r>
      <w:r>
        <w:rPr>
          <w:rStyle w:val="longtext"/>
          <w:rFonts w:ascii="Segoe UI" w:hAnsi="Segoe UI" w:cs="Segoe UI"/>
          <w:sz w:val="22"/>
          <w:szCs w:val="22"/>
          <w:shd w:val="clear" w:color="auto" w:fill="FFFFFF"/>
          <w:lang w:val="id"/>
        </w:rPr>
        <w:t xml:space="preserve">, dan tujuan hukum sebagai pisau analisis. Penelitian ini tidak menggunakan pendekatan kuantitatif karena permasalahan yang diteliti bersifat normatif-kualitatif dan tidak melibatkan pengujian hubungan antarvariabel.</w:t>
      </w:r>
    </w:p>
    <w:p>
      <w:pPr>
        <w:pStyle w:val="Heading2"/>
        <w:ind w:right="322"/>
        <w:rPr>
          <w:rStyle w:val="mediumtext"/>
        </w:rPr>
      </w:pPr>
      <w:r>
        <w:rPr>
          <w:rStyle w:val="mediumtext"/>
        </w:rPr>
        <w:t xml:space="preserve">2.2 Objek, Lokasi, dan Unit Analisis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Objek penelitian adalah pertimbangan hukum dan amar Putusan Pengadilan Negeri Makassar Nomor 1339/Pid.B/2023/PN Mks dalam perkara tindak pidana penggelapan dalam jabatan. Penelitian dilaksanakan di Pengadilan Negeri Makassar sebagai pengadilan yang memeriksa, mengadili, dan memutus perkara tersebut. Pemilihan putusan ini dilakukan secara sengaja (</w:t>
      </w:r>
      <w:r>
        <w:rPr>
          <w:rStyle w:val="longtext"/>
          <w:rFonts w:ascii="Segoe UI" w:hAnsi="Segoe UI" w:cs="Segoe UI"/>
          <w:i/>
          <w:iCs/>
          <w:sz w:val="22"/>
          <w:szCs w:val="22"/>
          <w:shd w:val="clear" w:color="auto" w:fill="FFFFFF"/>
          <w:lang w:val="id"/>
        </w:rPr>
        <w:t xml:space="preserve">purposive</w:t>
      </w:r>
      <w:r>
        <w:rPr>
          <w:rStyle w:val="longtext"/>
          <w:rFonts w:ascii="Segoe UI" w:hAnsi="Segoe UI" w:cs="Segoe UI"/>
          <w:sz w:val="22"/>
          <w:szCs w:val="22"/>
          <w:shd w:val="clear" w:color="auto" w:fill="FFFFFF"/>
          <w:lang w:val="id"/>
        </w:rPr>
        <w:t xml:space="preserve">) dengan tiga pertimbangan, yaitu perkara telah diputus dan berkekuatan sebagai dokumen publik, konstruksi deliknya secara tegas menggunakan Pasal 374 KUHP, serta terdapat kesenjangan yang menarik antara besarnya kerugian dan pidana yang dijatuhkan sehingga relevan untuk diuji dari sisi proporsionalitas. Unit analisis dibatasi pada dua hal, yaitu konstruksi penalaran hukum majelis hakim dalam menguji unsur-unsur pasal yang didakwakan, dan dasar pertimbangan yang digunakan dalam menentukan jenis serta berat ringannya pidana. Putusan lain hanya digunakan sebagai pembanding dan tidak menjadi objek analisis utama.</w:t>
      </w:r>
    </w:p>
    <w:p>
      <w:pPr>
        <w:pStyle w:val="Heading2"/>
        <w:ind w:right="322"/>
        <w:rPr>
          <w:rStyle w:val="mediumtext"/>
        </w:rPr>
      </w:pPr>
      <w:r>
        <w:rPr>
          <w:rStyle w:val="mediumtext"/>
        </w:rPr>
        <w:t xml:space="preserve">2.3 Bahan Hukum dan Sumber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primer meliputi Undang-Undang Dasar Negara Republik Indonesia Tahun 1945, Kitab Undang-Undang Hukum Pidana, Undang-Undang Nomor 8 Tahun 1981 tentang Hukum Acara Pidana, Undang-Undang Nomor 48 Tahun 2009 tentang Kekuasaan Kehakiman, Undang-Undang Nomor 1 Tahun 2023 tentang Kitab Undang-Undang Hukum Pidana, Peraturan Mahkamah Agung Nomor 2 Tahun 2012 tentang Penyesuaian Batasan Tindak Pidana Ringan dan Jumlah Denda dalam KUHP, surat dakwaan Penuntut Umum Nomor PDM-348/P.4.10/Eoh.2/10/2023 tanggal 30 Oktober 2023, serta Putusan Nomor 1339/Pid.B/2023/PN Mks itu sendiri. Bahan hukum sekunder terdiri atas buku, artikel jurnal ilmiah nasional, dan hasil penelitian terdahulu yang relevan, sedangkan bahan hukum tersier berupa kamus hukum digunakan sebatas untuk menjernihkan peristilahan. Data primer diperoleh melalui penelitian lapangan berupa wawancara dengan pihak yang terkait dengan penanganan perkara, sedangkan data sekunder diperoleh melalui penelusuran kepustakaan.</w:t>
      </w:r>
    </w:p>
    <w:p>
      <w:pPr>
        <w:pStyle w:val="Heading2"/>
        <w:ind w:right="322"/>
        <w:rPr>
          <w:rStyle w:val="mediumtext"/>
        </w:rPr>
      </w:pPr>
      <w:r>
        <w:rPr>
          <w:rStyle w:val="mediumtext"/>
        </w:rPr>
        <w:t xml:space="preserve">2.4 Teknik Pengumpulan Bahan Hukum dan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bahan hukum dilakukan melalui dua teknik yang saling melengkapi. Penelitian kepustakaan (</w:t>
      </w:r>
      <w:r>
        <w:rPr>
          <w:rStyle w:val="longtext"/>
          <w:rFonts w:ascii="Segoe UI" w:hAnsi="Segoe UI" w:cs="Segoe UI"/>
          <w:i/>
          <w:iCs/>
          <w:sz w:val="22"/>
          <w:szCs w:val="22"/>
          <w:shd w:val="clear" w:color="auto" w:fill="FFFFFF"/>
          <w:lang w:val="id"/>
        </w:rPr>
        <w:t xml:space="preserve">library research</w:t>
      </w:r>
      <w:r>
        <w:rPr>
          <w:rStyle w:val="longtext"/>
          <w:rFonts w:ascii="Segoe UI" w:hAnsi="Segoe UI" w:cs="Segoe UI"/>
          <w:sz w:val="22"/>
          <w:szCs w:val="22"/>
          <w:shd w:val="clear" w:color="auto" w:fill="FFFFFF"/>
          <w:lang w:val="id"/>
        </w:rPr>
        <w:t xml:space="preserve">) digunakan untuk menghimpun peraturan perundang-undangan, literatur, dan artikel jurnal, disertai studi dokumen atas berkas perkara dan salinan putusan. Penelitian lapangan (</w:t>
      </w:r>
      <w:r>
        <w:rPr>
          <w:rStyle w:val="longtext"/>
          <w:rFonts w:ascii="Segoe UI" w:hAnsi="Segoe UI" w:cs="Segoe UI"/>
          <w:i/>
          <w:iCs/>
          <w:sz w:val="22"/>
          <w:szCs w:val="22"/>
          <w:shd w:val="clear" w:color="auto" w:fill="FFFFFF"/>
          <w:lang w:val="id"/>
        </w:rPr>
        <w:t xml:space="preserve">field research</w:t>
      </w:r>
      <w:r>
        <w:rPr>
          <w:rStyle w:val="longtext"/>
          <w:rFonts w:ascii="Segoe UI" w:hAnsi="Segoe UI" w:cs="Segoe UI"/>
          <w:sz w:val="22"/>
          <w:szCs w:val="22"/>
          <w:shd w:val="clear" w:color="auto" w:fill="FFFFFF"/>
          <w:lang w:val="id"/>
        </w:rPr>
        <w:t xml:space="preserve">) dilakukan melalui pengamatan dan wawancara di Pengadilan Negeri Makassar untuk memperoleh konteks penanganan perkara serta memverifikasi kesesuaian dokumen dengan praktik persidangan. Seluruh keterangan yang diperoleh dari lapangan diperlakukan sebagai data pendukung dan hanya digunakan sepanjang dapat dikonfirmasi dengan dokumen resmi perkara, sehingga tidak ada informasi yang dipergunakan tanpa dasar dokumen.</w:t>
      </w:r>
    </w:p>
    <w:p>
      <w:pPr>
        <w:pStyle w:val="Heading2"/>
        <w:ind w:right="322"/>
        <w:rPr>
          <w:rStyle w:val="mediumtext"/>
        </w:rPr>
      </w:pPr>
      <w:r>
        <w:rPr>
          <w:rStyle w:val="mediumtext"/>
        </w:rPr>
        <w:t xml:space="preserve">2.5 Teknik Analisis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dan data dianalisis secara deskriptif-kualitatif melalui tiga tahap yang berurutan. Tahap pertama adalah identifikasi normatif, yaitu menguraikan unsur-unsur Pasal 374 KUHP sebagaimana dirumuskan dalam surat dakwaan. Tahap kedua adalah konfrontasi, yaitu mempertemukan setiap unsur tersebut dengan fakta hukum yang terungkap di persidangan dan dengan pertimbangan majelis hakim, sehingga dapat dinilai ada tidaknya kesesuaian antara norma dan fakta. Tahap ketiga adalah penilaian normatif, yaitu mengukur hasil konfrontasi tersebut dengan teori tujuan hukum yang mencakup keadilan, kepastian hukum, dan kemanfaatan (Qamar, 2013), serta teori efektivitas hukum yang menempatkan faktor hukum dan faktor penegak hukum sebagai penentu bekerjanya norma (Soekanto, 2008; Salim HS &amp; Nurbani, 2013).</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deduktif, yaitu bergerak dari norma umum menuju penilaian atas kasus konkret. Analisis bersifat evaluatif terhadap konstruksi penalaran dalam putusan dan tidak dimaksudkan untuk menilai integritas personal majelis hakim. Keterbatasan penelitian perlu dikemukakan secara terbuka: karena hanya satu putusan yang dianalisis secara mendalam, temuan tidak dimaksudkan untuk digeneralisasi ke seluruh praktik pemidanaan penggelapan dalam jabatan, melainkan untuk menyediakan analisis yang mendalam atas satu konstruksi penalaran hukum yang konkret.</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pertimbangan hukum majelis hakim dan analisis yuridis atas putusan yang dijatuhkan, kemudian ditutup dengan implikasi putusan dalam kerangka pembaruan hukum pidana nasional.</w:t>
      </w:r>
    </w:p>
    <w:p>
      <w:pPr>
        <w:pStyle w:val="Heading2"/>
        <w:ind w:right="322"/>
        <w:rPr>
          <w:rStyle w:val="mediumtext"/>
        </w:rPr>
      </w:pPr>
      <w:r>
        <w:rPr>
          <w:rStyle w:val="mediumtext"/>
        </w:rPr>
        <w:t xml:space="preserve">3.1 Pertimbangan Hukum Hakim dalam Putusan Nomor 1339/Pid.B/2023/PN Mks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Penuntut umum menyusun dakwaan dalam bentuk subsidiaritas, dengan dakwaan primair Pasal 374 KUHP dan dakwaan subsidair Pasal 372 KUHP. Konsekuensi metodologis dari bentuk dakwaan tersebut adalah bahwa majelis hakim wajib mempertimbangkan lapisan primair terlebih dahulu; apabila lapisan itu terbukti, lapisan subsidair tidak perlu lagi dipertimbangkan (Harahap, 2010). Majelis hakim dalam perkara </w:t>
      </w:r>
      <w:r>
        <w:rPr>
          <w:rStyle w:val="longtext"/>
          <w:rFonts w:ascii="Segoe UI" w:hAnsi="Segoe UI" w:cs="Segoe UI"/>
          <w:i/>
          <w:iCs/>
          <w:sz w:val="22"/>
          <w:szCs w:val="22"/>
          <w:shd w:val="clear" w:color="auto" w:fill="FFFFFF"/>
          <w:lang w:val="id"/>
        </w:rPr>
        <w:t xml:space="preserve">a quo</w:t>
      </w:r>
      <w:r>
        <w:rPr>
          <w:rStyle w:val="longtext"/>
          <w:rFonts w:ascii="Segoe UI" w:hAnsi="Segoe UI" w:cs="Segoe UI"/>
          <w:sz w:val="22"/>
          <w:szCs w:val="22"/>
          <w:shd w:val="clear" w:color="auto" w:fill="FFFFFF"/>
          <w:lang w:val="id"/>
        </w:rPr>
        <w:t xml:space="preserve"> menempuh jalan tersebut secara konsisten dengan langsung menguji unsur-unsur Pasal 374 KUHP. Menurut analisis penulis, langkah ini sudah tepat secara hukum acara dan mencerminkan disiplin penalaran yang benar dalam menghadapi dakwaan berlapis.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Unsur-unsur yang diuji terdiri atas unsur barang siapa dan unsur dengan sengaja dan melawan hukum memiliki barang sesuatu yang seluruhnya atau sebagian kepunyaan orang lain, yang berada dalam kekuasaannya bukan karena kejahatan, disebabkan adanya hubungan kerja, pencarian, atau karena mendapat upah untuk itu. Konfrontasi antara rumusan unsur, fakta hukum yang terungkap di persidangan, dan penilaian majelis hakim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Konfrontasi Unsur Pasal 374 KUHP dengan Fakta Persidangan</w:t>
      </w:r>
    </w:p>
    <w:tbl>
      <w:tblPr>
        <w:tblW w:w="0" w:type="auto"/>
        <w:jc w:val="center"/>
        <w:tblCellMar>
          <w:top w:w="40" w:type="dxa"/>
          <w:left w:w="80" w:type="dxa"/>
          <w:bottom w:w="40" w:type="dxa"/>
          <w:right w:w="80" w:type="dxa"/>
        </w:tblCellMar>
        <w:tblLook w:val="04A0" w:firstRow="1" w:lastRow="0" w:firstColumn="1" w:lastColumn="0" w:noHBand="0" w:noVBand="1"/>
      </w:tblPr>
      <w:tblGrid>
        <w:gridCol w:w="2100"/>
        <w:gridCol w:w="3300"/>
        <w:gridCol w:w="2400"/>
      </w:tblGrid>
      <w:tr>
        <w:trPr>
          <w:cantSplit/>
          <w:tblHeader/>
          <w:jc w:val="center"/>
        </w:trPr>
        <w:tc>
          <w:tcPr>
            <w:tcW w:w="2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Unsur Pasal 374 KUHP</w:t>
            </w:r>
          </w:p>
        </w:tc>
        <w:tc>
          <w:tcPr>
            <w:tcW w:w="33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Fakta Hukum di Persidangan</w:t>
            </w:r>
          </w:p>
        </w:tc>
        <w:tc>
          <w:tcPr>
            <w:tcW w:w="24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Penilaian Majelis Hakim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Barang siapa</w:t>
            </w:r>
          </w:p>
        </w:tc>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Terdakwa berinisial E, identitas sesuai surat dakwaan Nomor PDM-348/P.4.10/Eoh.2/10/2023 dan dibenarkan sendiri oleh terdakwa di persidangan</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tidak terdapat kekeliruan mengenai subjek hukum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Dengan sengaja</w:t>
            </w:r>
          </w:p>
        </w:tc>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Terdakwa menerima pembayaran secara tunai dan melalui transfer ke rekening pribadinya, lalu menggunakannya untuk membayar pinjaman daring dan berjudi daring</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unsur kehendak dan pengetahuan terpenuhi</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Melawan hukum memiliki barang yang seluruhnya atau sebagian kepunyaan orang lain</w:t>
            </w:r>
          </w:p>
        </w:tc>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Uang tagihan pelanggan senilai Rp81.658.953,00 merupakan milik PT Kassaki Indo Baja dan tidak disetorkan kepada kasir perusahaan</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penguasaan berubah menjadi pemilikan tanpa hak</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Berada dalam kekuasaannya bukan karena kejahatan</w:t>
            </w:r>
          </w:p>
        </w:tc>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Faktur penjualan diserahkan admin gudang kepada terdakwa sebagai dasar penagihan yang sah</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penguasaan diperoleh melalui prosedur perusahaan</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Karena hubungan kerja, pencarian, atau mendapat upah untuk itu</w:t>
            </w:r>
          </w:p>
        </w:tc>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Terdakwa karyawan sejak 22 Oktober 2021 dengan upah Rp5.500.000,00 per bulan dan bertugas melakukan penagihan</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unsur pemberat Pasal 374 KUHP terpenuhi</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Putusan Pengadilan Negeri Makassar Nomor 1339/Pid.B/2023/PN Mks (2023)</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bahwa majelis hakim tidak berhenti pada pengutipan rumusan pasal, melainkan mempertemukan setiap unsur dengan fakta hukum yang terungkap di persidangan. Pola ini sejalan dengan pemahaman Mulyadi (2009) bahwa pertimbangan hukum atau </w:t>
      </w:r>
      <w:r>
        <w:rPr>
          <w:rStyle w:val="longtext"/>
          <w:rFonts w:ascii="Segoe UI" w:hAnsi="Segoe UI" w:cs="Segoe UI"/>
          <w:i/>
          <w:iCs/>
          <w:sz w:val="22"/>
          <w:szCs w:val="22"/>
          <w:shd w:val="clear" w:color="auto" w:fill="FFFFFF"/>
          <w:lang w:val="id"/>
        </w:rPr>
        <w:t xml:space="preserve">ratio decidendi</w:t>
      </w:r>
      <w:r>
        <w:rPr>
          <w:rStyle w:val="longtext"/>
          <w:rFonts w:ascii="Segoe UI" w:hAnsi="Segoe UI" w:cs="Segoe UI"/>
          <w:sz w:val="22"/>
          <w:szCs w:val="22"/>
          <w:shd w:val="clear" w:color="auto" w:fill="FFFFFF"/>
          <w:lang w:val="id"/>
        </w:rPr>
        <w:t xml:space="preserve"> harus dituangkan sebagai analisis, argumentasi, pendapat, dan kesimpulan hakim yang tersusun secara sistematis, logis, dan saling berhubungan. Berdasarkan konstruksi hukum tersebut, penulis berpendapat bahwa pertimbangan majelis hakim pada tahap pembuktian telah memenuhi standar penalaran yang memadai. Kesesuaian antara norma dan fakta terbangun secara utuh, sehingga tujuan kepastian hukum terpenuhi pada tahap ini.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Terdapat dua catatan teknis yang perlu dikemukakan. Pertama, rumusan unsur yang diuji majelis hakim menggunakan frasa mengakui sebagai milik sendiri, sedangkan terjemahan Pasal 372 KUHP yang lazim digunakan berbunyi memiliki dengan melawan hak. Perbedaan redaksional tersebut tidak mengubah substansi karena keduanya menunjuk pada perbuatan </w:t>
      </w:r>
      <w:r>
        <w:rPr>
          <w:rStyle w:val="longtext"/>
          <w:rFonts w:ascii="Segoe UI" w:hAnsi="Segoe UI" w:cs="Segoe UI"/>
          <w:i/>
          <w:iCs/>
          <w:sz w:val="22"/>
          <w:szCs w:val="22"/>
          <w:shd w:val="clear" w:color="auto" w:fill="FFFFFF"/>
          <w:lang w:val="id"/>
        </w:rPr>
        <w:t xml:space="preserve">zich toe-eigenen</w:t>
      </w:r>
      <w:r>
        <w:rPr>
          <w:rStyle w:val="longtext"/>
          <w:rFonts w:ascii="Segoe UI" w:hAnsi="Segoe UI" w:cs="Segoe UI"/>
          <w:sz w:val="22"/>
          <w:szCs w:val="22"/>
          <w:shd w:val="clear" w:color="auto" w:fill="FFFFFF"/>
          <w:lang w:val="id"/>
        </w:rPr>
        <w:t xml:space="preserve">, yaitu memperlakukan barang seolah-olah sebagai pemilik. Kedua, kualifikasi perkara sebagai penggelapan dengan pemberatan dan bukan penggelapan ringan sudah tepat, karena nilai kerugian jauh melampaui batasan Rp2.500.000,00 sebagaimana ditetapkan dalam Peraturan Mahkamah Agung Nomor 2 Tahun 2012.</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Persoalan justru terletak pada tahap berikutnya. Pasal 5 ayat (1) Undang-Undang Nomor 48 Tahun 2009 tentang Kekuasaan Kehakiman mewajibkan hakim menggali, mengikuti, dan memahami nilai-nilai hukum dan rasa keadilan yang hidup dalam masyarakat. Ketentuan itu berarti pertimbangan tidak boleh berhenti pada aspek yuridis normatif, tetapi juga menuntut dipertimbangkannya aspek filosofis dan sosiologis. Dalam putusan </w:t>
      </w:r>
      <w:r>
        <w:rPr>
          <w:rStyle w:val="longtext"/>
          <w:rFonts w:ascii="Segoe UI" w:hAnsi="Segoe UI" w:cs="Segoe UI"/>
          <w:i/>
          <w:iCs/>
          <w:sz w:val="22"/>
          <w:szCs w:val="22"/>
          <w:shd w:val="clear" w:color="auto" w:fill="FFFFFF"/>
          <w:lang w:val="id"/>
        </w:rPr>
        <w:t xml:space="preserve">a quo</w:t>
      </w:r>
      <w:r>
        <w:rPr>
          <w:rStyle w:val="longtext"/>
          <w:rFonts w:ascii="Segoe UI" w:hAnsi="Segoe UI" w:cs="Segoe UI"/>
          <w:sz w:val="22"/>
          <w:szCs w:val="22"/>
          <w:shd w:val="clear" w:color="auto" w:fill="FFFFFF"/>
          <w:lang w:val="id"/>
        </w:rPr>
        <w:t xml:space="preserve">, aspek yuridis normatif diuraikan secara kuat, tetapi aspek filosofis dan sosiologis yang seharusnya menjadi dasar penentuan berat ringannya pidana tidak memperoleh elaborasi yang sebanding. Temuan tersebut memperlihatkan adanya ketimpangan bobot penalaran antara tahap pembuktian dan tahap penjatuhan pidana.</w:t>
      </w:r>
    </w:p>
    <w:p>
      <w:pPr>
        <w:pStyle w:val="Heading2"/>
        <w:ind w:right="322"/>
        <w:rPr>
          <w:rStyle w:val="mediumtext"/>
        </w:rPr>
      </w:pPr>
      <w:r>
        <w:rPr>
          <w:rStyle w:val="mediumtext"/>
        </w:rPr>
        <w:t xml:space="preserve">3.2 Analisis Yuridis atas Proporsionalitas Pidana yang Dijatuhkan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Majelis hakim menjatuhkan pidana penjara selama satu tahun sepuluh bulan, menetapkan masa penangkapan dan penahanan dikurangkan seluruhnya dari pidana yang dijatuhkan, memerintahkan terdakwa tetap ditahan, menyatakan barang bukti tetap terlampir dalam berkas perkara, dan membebankan biaya perkara sebesar Rp5.000,00. Apabila dikonversi, pidana tersebut setara dengan 22 bulan dari ancaman maksimum 60 bulan, atau sekitar 36,7% dari ancaman pidana Pasal 374 KUHP. Angka ini menjadi penting karena kerugian yang ditimbulkan mencapai Rp81.658.953,00 atau hampir lima belas kali upah bulanan terdakwa, dan hasil kejahatan itu digunakan untuk berjudi daring serta membayar pinjaman daring.</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Untuk menempatkan angka tersebut dalam konteks yang lebih luas, Tabel 2 membandingkan kuantum pidana pada beberapa perkara penggelapan dalam jabatan yang telah dikaji dalam penelitian terdahulu.</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Perbandingan Kuantum Pidana pada Perkara Penggelapan dalam Jabatan</w:t>
      </w:r>
    </w:p>
    <w:tbl>
      <w:tblPr>
        <w:tblW w:w="0" w:type="auto"/>
        <w:jc w:val="center"/>
        <w:tblCellMar>
          <w:top w:w="40" w:type="dxa"/>
          <w:left w:w="80" w:type="dxa"/>
          <w:bottom w:w="40" w:type="dxa"/>
          <w:right w:w="80" w:type="dxa"/>
        </w:tblCellMar>
        <w:tblLook w:val="04A0" w:firstRow="1" w:lastRow="0" w:firstColumn="1" w:lastColumn="0" w:noHBand="0" w:noVBand="1"/>
      </w:tblPr>
      <w:tblGrid>
        <w:gridCol w:w="1750"/>
        <w:gridCol w:w="3000"/>
        <w:gridCol w:w="1450"/>
        <w:gridCol w:w="1600"/>
      </w:tblGrid>
      <w:tr>
        <w:trPr>
          <w:cantSplit/>
          <w:tblHeader/>
          <w:jc w:val="center"/>
        </w:trPr>
        <w:tc>
          <w:tcPr>
            <w:tcW w:w="175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Nomor Putusan</w:t>
            </w:r>
          </w:p>
        </w:tc>
        <w:tc>
          <w:tcPr>
            <w:tcW w:w="3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Kualifikasi dan Nilai Kerugian</w:t>
            </w:r>
          </w:p>
        </w:tc>
        <w:tc>
          <w:tcPr>
            <w:tcW w:w="145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Pidana yang Dijatuhkan</w:t>
            </w:r>
          </w:p>
        </w:tc>
        <w:tc>
          <w:tcPr>
            <w:tcW w:w="16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Sumber</w:t>
            </w:r>
          </w:p>
        </w:tc>
      </w:tr>
      <w:tr>
        <w:trPr>
          <w:cantSplit/>
          <w:jc w:val="center"/>
        </w:trPr>
        <w:tc>
          <w:tcPr>
            <w:tcW w:w="17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16/Pid.B/2023/PN Tjk</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Penggelapan dalam jabatan oleh penagih utang; kerugian Rp31.000.000,00</w:t>
            </w:r>
          </w:p>
        </w:tc>
        <w:tc>
          <w:tcPr>
            <w:tcW w:w="14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1 tahun 3 bulan</w:t>
            </w:r>
          </w:p>
        </w:tc>
        <w:tc>
          <w:tcPr>
            <w:tcW w:w="1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Anggalana &amp; Juliansa (2024)</w:t>
            </w:r>
          </w:p>
        </w:tc>
      </w:tr>
      <w:tr>
        <w:trPr>
          <w:cantSplit/>
          <w:jc w:val="center"/>
        </w:trPr>
        <w:tc>
          <w:tcPr>
            <w:tcW w:w="17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1339/Pid.B/2023/PN Mks</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Penggelapan dalam jabatan oleh tenaga penjualan; kerugian Rp81.658.953,00</w:t>
            </w:r>
          </w:p>
        </w:tc>
        <w:tc>
          <w:tcPr>
            <w:tcW w:w="14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1 tahun 10 bulan</w:t>
            </w:r>
          </w:p>
        </w:tc>
        <w:tc>
          <w:tcPr>
            <w:tcW w:w="1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Putusan yang diteliti</w:t>
            </w:r>
          </w:p>
        </w:tc>
      </w:tr>
      <w:tr>
        <w:trPr>
          <w:cantSplit/>
          <w:jc w:val="center"/>
        </w:trPr>
        <w:tc>
          <w:tcPr>
            <w:tcW w:w="17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2206/Pid.B/2023/PN Sby</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Penggelapan dalam jabatan oleh karyawan perusahaan tekstil; nilai kerugian tidak dirinci dalam sumber</w:t>
            </w:r>
          </w:p>
        </w:tc>
        <w:tc>
          <w:tcPr>
            <w:tcW w:w="145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2 tahun 6 bulan</w:t>
            </w:r>
          </w:p>
        </w:tc>
        <w:tc>
          <w:tcPr>
            <w:tcW w:w="1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Sutopo dkk. (2024)</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Putusan Nomor 1339/Pid.B/2023/PN Mks dan hasil penelitian terdahulu (2024)</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2 memperlihatkan bahwa kuantum pidana pada perkara dengan konstruksi delik yang sama bergerak pada rentang yang cukup lebar, sementara nilai kerugian tidak selalu berbanding lurus dengan berat pidana. Pada Putusan Nomor 1339/Pid.B/2023/PN Mks, kerugian lebih dari dua setengah kali lipat dibanding Putusan Nomor 16/Pid.B/2023/PN Tjk, tetapi selisih pidananya hanya tujuh bulan. Jika dikaitkan dengan pandangan Ichsan dan Harris (2025) bahwa Pasal 374 KUHP merupakan delik formil, memang benar bahwa besarnya kerugian bukan unsur yang menentukan terpenuhinya delik. Namun hal itu tidak berarti besarnya kerugian menjadi tidak relevan sama sekali, karena ia tetap merupakan keadaan yang lazim dipertimbangkan sebagai faktor yang memberatkan dalam menentukan berat ringannya pidana (Seregig dkk., 2022).</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Dari perspektif teori tujuan hukum, ketiga dimensi tidak tercapai secara seimbang. Kepastian hukum terpenuhi karena pidana yang dijatuhkan berada dalam rentang ancaman pasal yang didakwakan, sesuai dengan pandangan Marzuki (2008) bahwa kepastian hukum menuntut adanya aturan umum yang membuat individu mengetahui apa yang boleh dan tidak boleh dilakukan. Namun kemanfaatan hukum, sebagaimana diajarkan aliran utilitas yang dipelopori Jeremy Bentham dan menempatkan hukum sebagai sarana mencapai kebahagiaan terbesar bagi sebanyak mungkin orang (Ali, 2012), sulit dikatakan tercapai apabila putusan tidak menghasilkan efek pencegahan yang memadai. Demikian pula keadilan korektif, yang menurut Aristoteles berfungsi memulihkan keadaan korban dengan mengembalikan atau mengganti apa yang hilang (Qamar, 2013), tidak terwujud karena amar putusan sama sekali tidak memuat kewajiban pemulihan kerugian perusahaan sebesar Rp81.658.953,00. Barang bukti berupa faktur penjualan, surat jalan, hasil audit internal, nota, dan bukti transfer hanya dinyatakan tetap terlampir dalam berkas perkara.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yuridis, kondisi tersebut dapat pula dibaca melalui teori efektivitas hukum. Soekanto (2008) menempatkan faktor hukum dan faktor penegak hukum sebagai dua dari lima faktor penentu bekerjanya hukum. Pada perkara </w:t>
      </w:r>
      <w:r>
        <w:rPr>
          <w:rStyle w:val="longtext"/>
          <w:rFonts w:ascii="Segoe UI" w:hAnsi="Segoe UI" w:cs="Segoe UI"/>
          <w:i/>
          <w:iCs/>
          <w:sz w:val="22"/>
          <w:szCs w:val="22"/>
          <w:shd w:val="clear" w:color="auto" w:fill="FFFFFF"/>
          <w:lang w:val="id"/>
        </w:rPr>
        <w:t xml:space="preserve">a quo</w:t>
      </w:r>
      <w:r>
        <w:rPr>
          <w:rStyle w:val="longtext"/>
          <w:rFonts w:ascii="Segoe UI" w:hAnsi="Segoe UI" w:cs="Segoe UI"/>
          <w:sz w:val="22"/>
          <w:szCs w:val="22"/>
          <w:shd w:val="clear" w:color="auto" w:fill="FFFFFF"/>
          <w:lang w:val="id"/>
        </w:rPr>
        <w:t xml:space="preserve">, faktor hukum tidak bermasalah karena norma Pasal 374 KUHP telah menyediakan ancaman pidana yang cukup; persoalan terletak pada cara kewenangan menjatuhkan pidana itu digunakan. Argumentasi tersebut dapat dipahami karena hukum yang efektif, dalam rumusan Anthony Allott sebagaimana dikutip Salim HS dan Nurbani (2013), adalah hukum yang mampu mencegah terjadinya perbuatan yang tidak dikehendaki. Pidana yang jauh di bawah ancaman maksimum, tanpa disertai pemulihan kerugian, berisiko mengirimkan pesan bahwa penyelewengan kepercayaan dalam hubungan kerja merupakan perbuatan yang berbiaya rendah.</w:t>
      </w:r>
    </w:p>
    <w:p>
      <w:pPr>
        <w:pStyle w:val="Heading2"/>
        <w:ind w:right="322"/>
        <w:rPr>
          <w:rStyle w:val="mediumtext"/>
        </w:rPr>
      </w:pPr>
      <w:r>
        <w:rPr>
          <w:rStyle w:val="mediumtext"/>
        </w:rPr>
        <w:t xml:space="preserve">3.3 Implikasi Putusan dalam Transisi menuju KUHP Nasional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di atas memperoleh maknanya yang lebih luas apabila dihubungkan dengan Undang-Undang Nomor 1 Tahun 2023 tentang Kitab Undang-Undang Hukum Pidana, yang mulai berlaku pada 2 Januari 2026. Dalam kodifikasi baru tersebut, penggelapan dalam jabatan diatur dalam Pasal 488 sebagai bentuk khusus dari penggelapan Pasal 486. Perbandingan kedua norma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Perbandingan Norma Penggelapan dalam Jabatan pada KUHP dan Undang-Undang Nomor 1 Tahun 2023</w:t>
      </w:r>
    </w:p>
    <w:tbl>
      <w:tblPr>
        <w:tblW w:w="0" w:type="auto"/>
        <w:jc w:val="center"/>
        <w:tblCellMar>
          <w:top w:w="40" w:type="dxa"/>
          <w:left w:w="80" w:type="dxa"/>
          <w:bottom w:w="40" w:type="dxa"/>
          <w:right w:w="80" w:type="dxa"/>
        </w:tblCellMar>
        <w:tblLook w:val="04A0" w:firstRow="1" w:lastRow="0" w:firstColumn="1" w:lastColumn="0" w:noHBand="0" w:noVBand="1"/>
      </w:tblPr>
      <w:tblGrid>
        <w:gridCol w:w="1900"/>
        <w:gridCol w:w="2700"/>
        <w:gridCol w:w="3200"/>
      </w:tblGrid>
      <w:tr>
        <w:trPr>
          <w:cantSplit/>
          <w:tblHeader/>
          <w:jc w:val="center"/>
        </w:trPr>
        <w:tc>
          <w:tcPr>
            <w:tcW w:w="1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Aspek Perbandingan</w:t>
            </w:r>
          </w:p>
        </w:tc>
        <w:tc>
          <w:tcPr>
            <w:tcW w:w="2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Pasal 374 KUHP</w:t>
            </w:r>
          </w:p>
        </w:tc>
        <w:tc>
          <w:tcPr>
            <w:tcW w:w="32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Pasal 488 UU No. 1 Tahun 2023</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Teknik perumusan norma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Berdiri sendiri sebagai bentuk penggelapan yang diperberat</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Merujuk pada perbuatan dalam Pasal 486 dengan penambahan keadaan yang memberatkan</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Keadaan yang memberatkan</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Hubungan kerja, pencarian, atau mendapat upah untuk itu</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Hubungan kerja, profesi, atau mendapat upah untuk penguasaan barang tersebut</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Ancaman pidana pokok</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Pidana penjara paling lama 5 tahun</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Pidana penjara paling lama 5 tahun atau pidana denda paling banyak kategori V</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Alternatif pidana denda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Tidak tersedia</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Tersedia sebagai alternatif pidana penjara</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Kitab Undang-Undang Hukum Pidana dan Undang-Undang Nomor 1 Tahun 2023</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3 menunjukkan bahwa pembentuk undang-undang mempertahankan bobot ancaman pidana penjara paling lama lima tahun, tetapi menambahkan pidana denda paling banyak kategori V sebagai alternatif. Secara yuridis, penambahan itu memperluas ruang bagi hakim untuk merespons perkara harta kekayaan secara lebih terukur, terutama pada perkara yang inti kerugiannya bersifat finansial. Dengan demikian, kritik terhadap ringannya pidana pada Putusan Nomor 1339/Pid.B/2023/PN Mks tidak dimaksudkan sebagai desakan pemenjaraan yang lebih panjang semata, melainkan sebagai tuntutan agar respons pidana benar-benar sepadan dengan bobot kesalahan dan kerugian yang ditimbulkan.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Pada titik ini, rekomendasi penyelesaian melalui pendekatan keadilan restoratif perlu dibaca secara cermat agar tidak dipahami sebagai bentuk peringanan tanpa syarat. Flora (2018) menempatkan keadilan restoratif sebagai alternatif penyelesaian yang menitikberatkan pemulihan keadaan korban, bukan sekadar pengurangan penderitaan pelaku. Menurut analisis penulis, kedua hal tersebut justru saling melengkapi: peringanan pidana dapat dibenarkan apabila disertai pemulihan kerugian yang nyata, sedangkan pidana yang ringan tanpa pemulihan kerugian sebagaimana terjadi dalam perkara </w:t>
      </w:r>
      <w:r>
        <w:rPr>
          <w:rStyle w:val="longtext"/>
          <w:rFonts w:ascii="Segoe UI" w:hAnsi="Segoe UI" w:cs="Segoe UI"/>
          <w:i/>
          <w:iCs/>
          <w:sz w:val="22"/>
          <w:szCs w:val="22"/>
          <w:shd w:val="clear" w:color="auto" w:fill="FFFFFF"/>
          <w:lang w:val="id"/>
        </w:rPr>
        <w:t xml:space="preserve">a quo</w:t>
      </w:r>
      <w:r>
        <w:rPr>
          <w:rStyle w:val="longtext"/>
          <w:rFonts w:ascii="Segoe UI" w:hAnsi="Segoe UI" w:cs="Segoe UI"/>
          <w:sz w:val="22"/>
          <w:szCs w:val="22"/>
          <w:shd w:val="clear" w:color="auto" w:fill="FFFFFF"/>
          <w:lang w:val="id"/>
        </w:rPr>
        <w:t xml:space="preserve"> tidak memenuhi keadilan maupun kemanfaatan. Implikasi praktisnya, upaya perdamaian dan pemulihan kerugian sebaiknya diletakkan sejak tahap penyidikan dan penuntutan, bukan diserahkan sepenuhnya kepada tahap persidangan.</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Pertimbangan hukum majelis hakim dalam tindak pidana penggelapan dalam jabatan berdasarkan Putusan Pengadilan Negeri Makassar Nomor 1339/Pid.B/2023/PN Mks telah dilakukan sesuai dengan ketentuan yang berlaku dalam rangka penegakan hukum. Majelis hakim mempertimbangkan dakwaan primair terlebih dahulu sebagai konsekuensi bentuk dakwaan subsidiaritas, kemudian menguji setiap unsur Pasal 374 KUHP dan mengonfrontasikannya dengan fakta-fakta yang terungkap di persidangan, hingga sampai pada kesimpulan bahwa terdakwa benar telah terbukti secara sah dan meyakinkan bersalah melakukan tindak pidana penggelapan dalam jabatan. Kesesuaian antara norma dan fakta terbangun secara utuh sehingga tujuan kepastian hukum terpenuhi pada tahap pembuktian, sedangkan kelemahannya terletak pada tahap penentuan berat ringannya pidana yang tidak memperoleh elaborasi filosofis dan sosiologis sebanding dengan kekuatan uraian yuridis normatifnya.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yuridis atas putusan tersebut menunjukkan bahwa pidana penjara selama satu tahun sepuluh bulan merupakan pidana yang terlalu ringan sehingga tidak menimbulkan efek jera, baik bagi pelaku maupun bagi masyarakat pada umumnya. Pidana itu hanya mencapai sekitar 36,7% dari ancaman maksimum lima tahun, sementara kerugian perusahaan sebesar Rp81.658.953,00 tidak dipulihkan melalui amar putusan. Perbandingan dengan putusan sejenis memperlihatkan bahwa besarnya kerugian belum menjadi variabel yang secara konsisten memengaruhi berat pidana. Akibatnya, tujuan kemanfaatan hukum dan keadilan korektif tidak tercapai secara optimal, meskipun kepastian hukum secara formal terpenuhi karena pidana yang dijatuhkan masih berada dalam rentang ancaman pasal yang didakwakan.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majelis hakim menguraikan pertimbangan penentuan berat ringannya pidana secara lebih eksplisit, dengan menempatkan besarnya kerugian, peruntukan hasil kejahatan, dan ada tidaknya pemulihan kerugian sebagai keadaan yang dipertimbangkan. Penuntut umum disarankan mengajukan tuntutan yang mencerminkan bobot kerugian serta mendorong pemulihan kerugian korban sejak tahap prapersidangan, sehingga upaya perdamaian dan penyelesaian secara restoratif berjalan seiring dengan pemenuhan hak korban dan bukan menggantikannya. Bagi pelaku usaha, temuan penelitian menegaskan perlunya penguatan pengendalian internal atas penagihan piutang, antara lain melalui pembatasan penerimaan pembayaran tunai oleh tenaga penjualan, konfirmasi pembayaran langsung kepada pelanggan, dan rekonsiliasi faktur secara berkala.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akademik, penelitian selanjutnya disarankan memperluas objek kajian pada sejumlah putusan penggelapan dalam jabatan dari beberapa pengadilan negeri agar pola disparitas pemidanaan dapat dipetakan secara lebih memadai. Penelitian lanjutan juga perlu menguji penerapan Pasal 488 Undang-Undang Nomor 1 Tahun 2023 setelah kodifikasi tersebut berjalan efektif, khususnya mengenai sejauh mana ketersediaan alternatif pidana denda kategori V benar-benar dimanfaatkan hakim untuk menghasilkan putusan yang lebih proporsional dan sekaligus memulihkan kerugian korban pada perkara penggelapan dalam jabatan.</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Ali, A. (2012). </w:t>
      </w:r>
      <w:r>
        <w:rPr>
          <w:rFonts w:cs="Segoe UI"/>
          <w:i/>
          <w:iCs/>
          <w:noProof/>
        </w:rPr>
        <w:t xml:space="preserve">Menguak teori hukum (legal theory) dan teori peradilan (judicialprudence) termasuk interpretasi undang-undang (legisprudence)</w:t>
      </w:r>
      <w:r>
        <w:rPr>
          <w:rFonts w:cs="Segoe UI"/>
          <w:noProof/>
        </w:rPr>
        <w:t xml:space="preserve">. Kencana Prenada 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Anggalana, &amp; Juliansa, M. R. (2024). Analisis yuridis tindak pidana penggelapan dalam jabatan yang dilakukan oleh debt collector di PT Federal International Finance (FIF) Cabang Lampung. </w:t>
      </w:r>
      <w:r>
        <w:rPr>
          <w:rFonts w:cs="Segoe UI"/>
          <w:i/>
          <w:iCs/>
          <w:noProof/>
        </w:rPr>
        <w:t xml:space="preserve">Pagaruyuang Law Journal</w:t>
      </w:r>
      <w:r>
        <w:rPr>
          <w:rFonts w:cs="Segoe UI"/>
          <w:noProof/>
        </w:rPr>
        <w:t xml:space="preserve">, </w:t>
      </w:r>
      <w:r>
        <w:rPr>
          <w:rFonts w:cs="Segoe UI"/>
          <w:i/>
          <w:iCs/>
          <w:noProof/>
        </w:rPr>
        <w:t xml:space="preserve">7</w:t>
      </w:r>
      <w:r>
        <w:rPr>
          <w:rFonts w:cs="Segoe UI"/>
          <w:noProof/>
        </w:rPr>
        <w:t xml:space="preserve">(2), 259–278.</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Flora, H. S. (2018). Keadilan restoratif sebagai alternatif dalam penyelesaian tindak pidana dan pengaruhnya dalam sistem peradilan pidana di Indonesia. </w:t>
      </w:r>
      <w:r>
        <w:rPr>
          <w:rFonts w:cs="Segoe UI"/>
          <w:i/>
          <w:iCs/>
          <w:noProof/>
        </w:rPr>
        <w:t xml:space="preserve">University of Bengkulu Law Journal</w:t>
      </w:r>
      <w:r>
        <w:rPr>
          <w:rFonts w:cs="Segoe UI"/>
          <w:noProof/>
        </w:rPr>
        <w:t xml:space="preserve">, </w:t>
      </w:r>
      <w:r>
        <w:rPr>
          <w:rFonts w:cs="Segoe UI"/>
          <w:i/>
          <w:iCs/>
          <w:noProof/>
        </w:rPr>
        <w:t xml:space="preserve">3</w:t>
      </w:r>
      <w:r>
        <w:rPr>
          <w:rFonts w:cs="Segoe UI"/>
          <w:noProof/>
        </w:rPr>
        <w:t xml:space="preserve">(2), 142–158.</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Gunadi, I., &amp; Efendi, J. (2019). </w:t>
      </w:r>
      <w:r>
        <w:rPr>
          <w:rFonts w:cs="Segoe UI"/>
          <w:i/>
          <w:iCs/>
          <w:noProof/>
        </w:rPr>
        <w:t xml:space="preserve">Cepat &amp; mudah memahami hukum pidana</w:t>
      </w:r>
      <w:r>
        <w:rPr>
          <w:rFonts w:cs="Segoe UI"/>
          <w:noProof/>
        </w:rPr>
        <w:t xml:space="preserve">. Prenadamedia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Harahap, M. Y. (2010). </w:t>
      </w:r>
      <w:r>
        <w:rPr>
          <w:rFonts w:cs="Segoe UI"/>
          <w:i/>
          <w:iCs/>
          <w:noProof/>
        </w:rPr>
        <w:t xml:space="preserve">Pembahasan permasalahan dan penerapan KUHAP: Pemeriksaan sidang pengadilan, banding, kasasi, dan peninjauan kembali</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Ichsan, M. T., &amp; Harris, F. (2025). Delik formil dalam penggelapan jabatan: Studi perbandingan putusan pengadilan di Indonesia berdasarkan Pasal 374 KUHP. </w:t>
      </w:r>
      <w:r>
        <w:rPr>
          <w:rFonts w:cs="Segoe UI"/>
          <w:i/>
          <w:iCs/>
          <w:noProof/>
        </w:rPr>
        <w:t xml:space="preserve">Jurnal Ilmu Hukum, Humaniora dan Politik</w:t>
      </w:r>
      <w:r>
        <w:rPr>
          <w:rFonts w:cs="Segoe UI"/>
          <w:noProof/>
        </w:rPr>
        <w:t xml:space="preserve">, </w:t>
      </w:r>
      <w:r>
        <w:rPr>
          <w:rFonts w:cs="Segoe UI"/>
          <w:i/>
          <w:iCs/>
          <w:noProof/>
        </w:rPr>
        <w:t xml:space="preserve">5</w:t>
      </w:r>
      <w:r>
        <w:rPr>
          <w:rFonts w:cs="Segoe UI"/>
          <w:noProof/>
        </w:rPr>
        <w:t xml:space="preserve">(6), 5167–5178. https://doi.org/10.38035/jihhp.v5i6.5867</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Karim, M. S., &amp; Haeranah. (2016). </w:t>
      </w:r>
      <w:r>
        <w:rPr>
          <w:rFonts w:cs="Segoe UI"/>
          <w:i/>
          <w:iCs/>
          <w:noProof/>
        </w:rPr>
        <w:t xml:space="preserve">Delik-delik di dalam kodifikasi</w:t>
      </w:r>
      <w:r>
        <w:rPr>
          <w:rFonts w:cs="Segoe UI"/>
          <w:noProof/>
        </w:rPr>
        <w:t xml:space="preserve">. Pustaka Pena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Manusiwa, R. W., Amiq, B., &amp; Marwiyah, S. (2024). Pertanggungjawaban pidana terhadap pelaku tindak pidana penggelapan dalam jabatan berdasarkan Putusan Nomor 260/Pid.B/2023/PN Spt. </w:t>
      </w:r>
      <w:r>
        <w:rPr>
          <w:rFonts w:cs="Segoe UI"/>
          <w:i/>
          <w:iCs/>
          <w:noProof/>
        </w:rPr>
        <w:t xml:space="preserve">Court Review: Jurnal Penelitian Hukum</w:t>
      </w:r>
      <w:r>
        <w:rPr>
          <w:rFonts w:cs="Segoe UI"/>
          <w:noProof/>
        </w:rPr>
        <w:t xml:space="preserve">, </w:t>
      </w:r>
      <w:r>
        <w:rPr>
          <w:rFonts w:cs="Segoe UI"/>
          <w:i/>
          <w:iCs/>
          <w:noProof/>
        </w:rPr>
        <w:t xml:space="preserve">5</w:t>
      </w:r>
      <w:r>
        <w:rPr>
          <w:rFonts w:cs="Segoe UI"/>
          <w:noProof/>
        </w:rPr>
        <w:t xml:space="preserve">(2), 35–47. https://doi.org/10.69957/cr.v5i02.1769</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(2008). </w:t>
      </w:r>
      <w:r>
        <w:rPr>
          <w:rFonts w:cs="Segoe UI"/>
          <w:i/>
          <w:iCs/>
          <w:noProof/>
        </w:rPr>
        <w:t xml:space="preserve">Pengantar ilmu hukum</w:t>
      </w:r>
      <w:r>
        <w:rPr>
          <w:rFonts w:cs="Segoe UI"/>
          <w:noProof/>
        </w:rPr>
        <w:t xml:space="preserve">. Kencana Prenada 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(2014). </w:t>
      </w:r>
      <w:r>
        <w:rPr>
          <w:rFonts w:cs="Segoe UI"/>
          <w:i/>
          <w:iCs/>
          <w:noProof/>
        </w:rPr>
        <w:t xml:space="preserve">Penelitian hukum</w:t>
      </w:r>
      <w:r>
        <w:rPr>
          <w:rFonts w:cs="Segoe UI"/>
          <w:noProof/>
        </w:rPr>
        <w:t xml:space="preserve">. Prenadamedia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Mulyadi, L. (2009). </w:t>
      </w:r>
      <w:r>
        <w:rPr>
          <w:rFonts w:cs="Segoe UI"/>
          <w:i/>
          <w:iCs/>
          <w:noProof/>
        </w:rPr>
        <w:t xml:space="preserve">Pergeseran perspektif dan praktek dari Mahkamah Agung mengenai putusan</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Pakpahan, E. (2020). Penegakan hukum terhadap tindak pidana penggelapan dalam jabatan General Manager PT Mitsi Citra Mandiri (Analisis Putusan Pengadilan Negeri Medan Nomor 2662/Pid.B/2017/PN Mdn). </w:t>
      </w:r>
      <w:r>
        <w:rPr>
          <w:rFonts w:cs="Segoe UI"/>
          <w:i/>
          <w:iCs/>
          <w:noProof/>
        </w:rPr>
        <w:t xml:space="preserve">Iuris Studia: Jurnal Kajian Hukum</w:t>
      </w:r>
      <w:r>
        <w:rPr>
          <w:rFonts w:cs="Segoe UI"/>
          <w:noProof/>
        </w:rPr>
        <w:t xml:space="preserve">, </w:t>
      </w:r>
      <w:r>
        <w:rPr>
          <w:rFonts w:cs="Segoe UI"/>
          <w:i/>
          <w:iCs/>
          <w:noProof/>
        </w:rPr>
        <w:t xml:space="preserve">1</w:t>
      </w:r>
      <w:r>
        <w:rPr>
          <w:rFonts w:cs="Segoe UI"/>
          <w:noProof/>
        </w:rPr>
        <w:t xml:space="preserve">(2), 61–76. https://doi.org/10.55357/is.v1i2.32</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Qamar, N. (2013). </w:t>
      </w:r>
      <w:r>
        <w:rPr>
          <w:rFonts w:cs="Segoe UI"/>
          <w:i/>
          <w:iCs/>
          <w:noProof/>
        </w:rPr>
        <w:t xml:space="preserve">Hak asasi manusia dalam negara hukum demokrasi</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Salim HS, &amp; Nurbani, E. S. (2013). </w:t>
      </w:r>
      <w:r>
        <w:rPr>
          <w:rFonts w:cs="Segoe UI"/>
          <w:i/>
          <w:iCs/>
          <w:noProof/>
        </w:rPr>
        <w:t xml:space="preserve">Penerapan teori hukum pada penelitian tesis dan disertasi</w:t>
      </w:r>
      <w:r>
        <w:rPr>
          <w:rFonts w:cs="Segoe UI"/>
          <w:noProof/>
        </w:rPr>
        <w:t xml:space="preserve">. Rajawali Pers.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Seregig, I. K., Ramadan, S., &amp; Oktavianti, D. M. (2022). Analisis pertimbangan hakim dalam menjatuhkan sanksi pidana terhadap pelaku tindak pidana penggelapan dalam jabatan. </w:t>
      </w:r>
      <w:r>
        <w:rPr>
          <w:rFonts w:cs="Segoe UI"/>
          <w:i/>
          <w:iCs/>
          <w:noProof/>
        </w:rPr>
        <w:t xml:space="preserve">Pampas: Journal of Criminal Law</w:t>
      </w:r>
      <w:r>
        <w:rPr>
          <w:rFonts w:cs="Segoe UI"/>
          <w:noProof/>
        </w:rPr>
        <w:t xml:space="preserve">, </w:t>
      </w:r>
      <w:r>
        <w:rPr>
          <w:rFonts w:cs="Segoe UI"/>
          <w:i/>
          <w:iCs/>
          <w:noProof/>
        </w:rPr>
        <w:t xml:space="preserve">3</w:t>
      </w:r>
      <w:r>
        <w:rPr>
          <w:rFonts w:cs="Segoe UI"/>
          <w:noProof/>
        </w:rPr>
        <w:t xml:space="preserve">(1), 103–110.</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Soekanto, S. (2008). </w:t>
      </w:r>
      <w:r>
        <w:rPr>
          <w:rFonts w:cs="Segoe UI"/>
          <w:i/>
          <w:iCs/>
          <w:noProof/>
        </w:rPr>
        <w:t xml:space="preserve">Faktor-faktor yang mempengaruhi penegakan hukum</w:t>
      </w:r>
      <w:r>
        <w:rPr>
          <w:rFonts w:cs="Segoe UI"/>
          <w:noProof/>
        </w:rPr>
        <w:t xml:space="preserve">. Raja Grafindo Persada.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Soesilo, R. (1995). </w:t>
      </w:r>
      <w:r>
        <w:rPr>
          <w:rFonts w:cs="Segoe UI"/>
          <w:i/>
          <w:iCs/>
          <w:noProof/>
        </w:rPr>
        <w:t xml:space="preserve">Kitab Undang-Undang Hukum Pidana (KUHP) serta komentar-komentarnya lengkap pasal demi pasal</w:t>
      </w:r>
      <w:r>
        <w:rPr>
          <w:rFonts w:cs="Segoe UI"/>
          <w:noProof/>
        </w:rPr>
        <w:t xml:space="preserve">. Politeia.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Sutopo, Soekorini, N., Cornelis, V. I., &amp; Hartoyo. (2024). Tindak pidana penggelapan dalam jabatan di perusahaan: Studi kasus Putusan PN No. 2206/Pid.B/2023/PN Sby. </w:t>
      </w:r>
      <w:r>
        <w:rPr>
          <w:rFonts w:cs="Segoe UI"/>
          <w:i/>
          <w:iCs/>
          <w:noProof/>
        </w:rPr>
        <w:t xml:space="preserve">Jurnal Hukum Indonesia</w:t>
      </w:r>
      <w:r>
        <w:rPr>
          <w:rFonts w:cs="Segoe UI"/>
          <w:noProof/>
        </w:rPr>
        <w:t xml:space="preserve">, </w:t>
      </w:r>
      <w:r>
        <w:rPr>
          <w:rFonts w:cs="Segoe UI"/>
          <w:i/>
          <w:iCs/>
          <w:noProof/>
        </w:rPr>
        <w:t xml:space="preserve">3</w:t>
      </w:r>
      <w:r>
        <w:rPr>
          <w:rFonts w:cs="Segoe UI"/>
          <w:noProof/>
        </w:rPr>
        <w:t xml:space="preserve">(4), 152–157. https://doi.org/10.58344/jhi.v3i4.1127</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1946 tentang Peraturan Hukum Pidana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48 Tahun 2009 tentang Kekuasaan Kehakiman.</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Mahkamah Agung Republik Indonesia Nomor 2 Tahun 2012 tentang Penyesuaian Batasan Tindak Pidana Ringan dan Jumlah Denda dalam KUHP.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Pengadilan Negeri Makassar. (2023). </w:t>
      </w:r>
      <w:r>
        <w:rPr>
          <w:rFonts w:cs="Segoe UI"/>
          <w:i/>
          <w:iCs/>
          <w:noProof/>
        </w:rPr>
        <w:t xml:space="preserve">Putusan Nomor 1339/Pid.B/2023/PN Mks</w:t>
      </w:r>
      <w:r>
        <w:rPr>
          <w:rFonts w:cs="Segoe UI"/>
          <w:noProof/>
        </w:rPr>
        <w:t xml:space="preserve">.</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Rony Celcius Kasman</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