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Upaya Hukum dan Kendala Penyelesaian Sengketa Tanah Adat Berbasis Perjanjian Lisan di Intan Jaya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id"/>
        </w:rPr>
        <w:t xml:space="preserve">Titus Agimbau</w:t>
      </w:r>
      <w:r>
        <w:rPr>
          <w:rFonts w:cs="Segoe UI"/>
          <w:b/>
          <w:bCs/>
          <w:sz w:val="24"/>
          <w:szCs w:val="24"/>
          <w:lang w:val="id"/>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titus@ukipaulus.ac.id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customary land, oral agreement, dispute resolution, land registration, legal certainty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tanah adat, perjanjian lisan, penyelesaian sengketa, pendaftaran tanah, kepastian hukum</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Customary communities in Intan Jaya Regency, Central Papua, still transfer land rights through oral agreements witnessed by tribal chiefs and village officials, a practice that meets the requirements of a valid contract yet is fragile once a dispute arises. This study examines the legal avenues used to resolve such disputes and the obstacles encountered. It is normative-empirical legal research with a descriptive qualitative design; data were gathered through interviews with regional government and legal officials and customary leaders, complemented by document study and library research. The findings show that dispute resolution runs through a tiered non-litigation ladder, beginning with family deliberation, then customary adjudication led by the tribal chief, village deliberation, district mediation, mediation at the Land Office, and finally the courts. Four obstacles recur: difficulty of proving oral agreements, suboptimal land administration, divergent customary and national perspectives on proof and transfer of rights, and low legal awareness of land registration. The study argues that these obstacles are less a legal vacuum than an unused set of instruments, and proposes converting customary settlements into written minutes that feed directly into land administration.</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Masyarakat hukum adat di Kabupaten Intan Jaya, Provinsi Papua Tengah, masih mengalihkan hak atas tanah melalui perjanjian lisan yang disaksikan kepala suku dan aparat kampung, praktik yang memenuhi syarat sahnya perjanjian tetapi rapuh ketika sengketa timbul. Penelitian ini mengkaji upaya hukum penyelesaian sengketa tersebut beserta kendala-kendalanya. Penelitian merupakan penelitian hukum normatif-empiris yang bersifat deskriptif-kualitatif; data dihimpun melalui wawancara dengan pejabat pemerintah daerah dan bagian hukum serta tokoh masyarakat adat, dilengkapi studi dokumen dan penelitian kepustakaan. Hasil penelitian menunjukkan bahwa penyelesaian sengketa berlangsung melalui tangga nonlitigasi yang berjenjang, dimulai dari musyawarah keluarga, mekanisme hukum adat yang dipimpin kepala suku, musyawarah kampung, mediasi di tingkat distrik, mediasi pada Kantor Pertanahan, hingga jalur peradilan. Terdapat empat kendala yang berulang, yaitu sulitnya pembuktian perjanjian lisan, belum optimalnya administrasi pertanahan, perbedaan perspektif hukum adat dan hukum nasional mengenai pembuktian dan peralihan hak, serta rendahnya kesadaran hukum mengenai pendaftaran tanah. Penelitian ini berargumen bahwa kendala tersebut lebih merupakan instrumen hukum yang belum dimanfaatkan daripada kekosongan hukum, dan mengusulkan konversi hasil musyawarah adat menjadi berita acara tertulis yang tersambung langsung dengan administrasi pertanahan.</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10-08-2026, Disetujui: (diisi editor), Dipublikasikan: (diisi editor)</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pPr>
        <w:pStyle w:val="Heading3"/>
        <w:ind w:firstLine="66"/>
      </w:pPr>
      <w:r>
        <w:t xml:space="preserve">PENDAHULUAN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Tanah menempati kedudukan strategis dalam kehidupan masyarakat Indonesia, tidak hanya karena nilai ekonomisnya sebagai faktor produksi, tetapi juga karena nilai sosial, budaya, dan spiritual yang melekat padanya. Pada banyak komunitas lokal, tanah dipahami sebagai ruang hidup, simbol identitas, dan warisan leluhur. Konstitusi merespons kenyataan itu melalui dua jalur sekaligus: Pasal 33 ayat (3) Undang-Undang Dasar Negara Republik Indonesia Tahun 1945 menempatkan bumi dan kekayaan alam di bawah penguasaan negara untuk sebesar-besar kemakmuran rakyat, sedangkan Pasal 18B ayat (2) mengakui dan menghormati kesatuan masyarakat hukum adat beserta hak-hak tradisionalnya sepanjang masih hidup.</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Pada tataran undang-undang, pengakuan itu dijabarkan melalui Undang-Undang Nomor 5 Tahun 1960 tentang Peraturan Dasar Pokok-Pokok Agraria yang menempatkan hukum adat sebagai dasar hukum agraria nasional dan mengakui hak ulayat sepanjang menurut kenyataannya masih ada. Untuk wilayah Papua, pengakuan tersebut diperkuat oleh Undang-Undang Nomor 21 Tahun 2001 tentang Otonomi Khusus bagi Provinsi Papua sebagaimana telah diubah dengan Undang-Undang Nomor 2 Tahun 2021, yang mewajibkan pemerintah daerah mengakui, menghormati, melindungi, dan memberdayakan hak-hak masyarakat adat, termasuk hak ulayat dan hak perorangan warga masyarakat hukum adat.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Kabupaten Intan Jaya, yang sejak pembentukan Provinsi Papua Tengah melalui Undang-Undang Nomor 15 Tahun 2022 menjadi bagian dari provinsi tersebut, memiliki karakteristik masyarakat yang masih sangat kental dengan nilai adat. Kondisi geografis pegunungan menyebabkan perkembangan administrasi pertanahan berlangsung bertahap, sementara sistem hukum adat tetap menjadi pedoman utama. Transaksi jual beli, hibah, tukar-menukar, maupun pemberian hak penggunaan tanah lazim dilakukan berdasarkan kesepakatan lisan di hadapan kepala suku, tokoh adat, kepala kampung, atau saksi masyarakat, dan dipandang telah cukup tanpa dokumen tertulis.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Persoalan hukum muncul karena praktik tersebut sah tetapi rapuh. Pasal 1320 Kitab Undang-Undang Hukum Perdata tidak mensyaratkan bentuk tertulis bagi sahnya perjanjian, sehingga perjanjian lisan tetap mengikat sebagaimana ditegaskan Pasal 1338 kitab yang sama. Namun ketika sengketa timbul, beban pembuktian bergeser pada alat bukti yang tersedia, dan di sinilah pihak yang hanya berpegang pada kesepakatan lisan berada pada posisi lemah. Sengketa biasanya meledak ketika terjadi pergantian generasi, perubahan kepemimpinan adat, kenaikan nilai ekonomis tanah, atau masuknya kebutuhan pembebasan lahan untuk pembangunan.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 mengenai hubungan hukum adat dan hukum pertanahan nasional telah berkembang luas, mencakup pengakuan hak ulayat, pendaftaran tanah masyarakat hukum adat, dan penyelesaian sengketa melalui mediasi pada kantor pertanahan. Namun sebagian besar kajian tersebut mengambil lokus di wilayah dengan administrasi pertanahan yang telah relatif mapan, sehingga kesimpulannya tidak selalu dapat dipindahkan ke daerah dengan keterbatasan geografis dan kelembagaan seperti Kabupaten Intan Jaya.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Selain itu, terdapat kesenjangan yang belum banyak dijembatani. Diskusi mengenai kelemahan perjanjian lisan cenderung berhenti pada kesimpulan bahwa ketiadaan dokumen tertulis membuat pembuktian menjadi sulit, tanpa menelusuri instrumen hukum yang sebenarnya telah tersedia untuk menangani keadaan tersebut. Pembaruan regulasi pertanahan mengenai administrasi tanah ulayat pada tahun 2024 juga belum banyak dibaca sebagai jalan keluar atas persoalan pembuktian dan pencatatan hak masyarakat hukum adat.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Berbeda dengan penelitian sebelumnya yang berfokus pada pengakuan normatif hak ulayat atau pada satu forum penyelesaian sengketa secara terpisah, penelitian ini menitikberatkan analisisnya pada dua hal, yaitu pemetaan tangga penyelesaian sengketa yang secara nyata ditempuh masyarakat di Kabupaten Intan Jaya, dan penelusuran apakah kendala yang dihadapi benar-benar bersumber dari kekosongan hukum atau dari instrumen hukum yang belum dimanfaatkan.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uraian tersebut, penelitian ini bertujuan, pertama, mengetahui dan menganalisis upaya hukum penyelesaian sengketa hak atas tanah adat berdasarkan perjanjian lisan di Kabupaten Intan Jaya Provinsi Papua Tengah; dan kedua, mengetahui dan menganalisis kendala-kendala yang dihadapi dalam upaya hukum tersebut.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teoretis, penelitian ini memperkaya kajian hukum pertanahan dan hukum adat dengan menempatkan forum penyelesaian sengketa sebagai satu rangkaian berjenjang, bukan sebagai pilihan yang saling meniadakan. Secara praktis, temuan penelitian dapat menjadi bahan pertimbangan bagi Kantor Pertanahan, pemerintah daerah, pemerintah kampung dan distrik, serta lembaga adat dalam merancang penyelesaian sengketa yang menghormati hukum adat sekaligus menghasilkan kepastian hukum.</w:t>
      </w:r>
    </w:p>
    <w:p>
      <w:pPr>
        <w:pStyle w:val="Heading3"/>
        <w:ind w:firstLine="66"/>
      </w:pPr>
      <w:r>
        <w:t xml:space="preserve">METODOLOGI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menguraikan cara penelitian dilakukan sehingga proses penarikan kesimpulan dapat ditelusuri dan diuji ulang, mencakup jenis dan pendekatan penelitian, lokasi, sumber data, teknik pengumpulan, serta teknik analisis yang digunakan.</w:t>
      </w:r>
    </w:p>
    <w:p>
      <w:pPr>
        <w:pStyle w:val="Heading2"/>
        <w:ind w:right="322"/>
        <w:rPr>
          <w:rStyle w:val="mediumtext"/>
        </w:rPr>
      </w:pPr>
      <w:r>
        <w:rPr>
          <w:rStyle w:val="mediumtext"/>
        </w:rPr>
        <w:t xml:space="preserve">2.1 Jenis dan Pendekatan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ini merupakan penelitian hukum normatif-empiris yang bersifat deskriptif dengan desain kualitatif. Pilihan tersebut didasarkan pada karakter permasalahan yang tidak dapat dijawab hanya dengan menelaah norma, karena inti persoalannya justru terletak pada jarak antara norma yang berlaku dan praktik yang hidup dalam masyarakat. Sisi normatif ditempuh melalui pendekatan perundang-undangan (</w:t>
      </w:r>
      <w:r>
        <w:rPr>
          <w:rStyle w:val="longtext"/>
          <w:rFonts w:ascii="Segoe UI" w:hAnsi="Segoe UI" w:cs="Segoe UI"/>
          <w:i/>
          <w:iCs/>
          <w:sz w:val="22"/>
          <w:szCs w:val="22"/>
          <w:shd w:val="clear" w:color="auto" w:fill="FFFFFF"/>
          <w:lang w:val="id"/>
        </w:rPr>
        <w:t xml:space="preserve">statute approach</w:t>
      </w:r>
      <w:r>
        <w:rPr>
          <w:rStyle w:val="longtext"/>
          <w:rFonts w:ascii="Segoe UI" w:hAnsi="Segoe UI" w:cs="Segoe UI"/>
          <w:sz w:val="22"/>
          <w:szCs w:val="22"/>
          <w:shd w:val="clear" w:color="auto" w:fill="FFFFFF"/>
          <w:lang w:val="id"/>
        </w:rPr>
        <w:t xml:space="preserve">) untuk menelaah ketentuan hukum perdata, hukum agraria, dan hukum otonomi khusus yang relevan, serta pendekatan konseptual (</w:t>
      </w:r>
      <w:r>
        <w:rPr>
          <w:rStyle w:val="longtext"/>
          <w:rFonts w:ascii="Segoe UI" w:hAnsi="Segoe UI" w:cs="Segoe UI"/>
          <w:i/>
          <w:iCs/>
          <w:sz w:val="22"/>
          <w:szCs w:val="22"/>
          <w:shd w:val="clear" w:color="auto" w:fill="FFFFFF"/>
          <w:lang w:val="id"/>
        </w:rPr>
        <w:t xml:space="preserve">conceptual approach</w:t>
      </w:r>
      <w:r>
        <w:rPr>
          <w:rStyle w:val="longtext"/>
          <w:rFonts w:ascii="Segoe UI" w:hAnsi="Segoe UI" w:cs="Segoe UI"/>
          <w:sz w:val="22"/>
          <w:szCs w:val="22"/>
          <w:shd w:val="clear" w:color="auto" w:fill="FFFFFF"/>
          <w:lang w:val="id"/>
        </w:rPr>
        <w:t xml:space="preserve">) untuk mendudukkan konsep perlindungan hukum, tujuan hukum, dan hukum yang hidup dalam masyarakat sebagai pisau analisis. Sisi empiris ditempuh melalui penelusuran praktik penyelesaian sengketa yang secara nyata berlangsung di lokasi penelitian. Penelitian ini tidak menggunakan pendekatan kuantitatif karena tujuannya memahami pola dan makna, bukan mengukur frekuensi.</w:t>
      </w:r>
    </w:p>
    <w:p>
      <w:pPr>
        <w:pStyle w:val="Heading2"/>
        <w:ind w:right="322"/>
        <w:rPr>
          <w:rStyle w:val="mediumtext"/>
        </w:rPr>
      </w:pPr>
      <w:r>
        <w:rPr>
          <w:rStyle w:val="mediumtext"/>
        </w:rPr>
        <w:t xml:space="preserve">2.2 Lokasi dan Objek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dilaksanakan di Kabupaten Intan Jaya Provinsi Papua Tengah, dengan titik pengumpulan data pada Kantor Pemerintah Daerah Kabupaten Intan Jaya serta kantor kampung, distrik, dan lembaga adat setempat. Lokasi tersebut dipilih secara sengaja karena memenuhi tiga kriteria sekaligus, yaitu kuatnya praktik perjanjian lisan dalam peralihan hak atas tanah, masih berjalannya kepemimpinan adat sebagai forum penyelesaian sengketa, dan meningkatnya kebutuhan kepastian hukum seiring pembangunan daerah. Objek penelitian adalah mekanisme penyelesaian sengketa hak atas tanah adat yang bersumber dari perjanjian lisan beserta hambatan yang menyertainya, bukan satu perkara tertentu.</w:t>
      </w:r>
    </w:p>
    <w:p>
      <w:pPr>
        <w:pStyle w:val="Heading2"/>
        <w:ind w:right="322"/>
        <w:rPr>
          <w:rStyle w:val="mediumtext"/>
        </w:rPr>
      </w:pPr>
      <w:r>
        <w:rPr>
          <w:rStyle w:val="mediumtext"/>
        </w:rPr>
        <w:t xml:space="preserve">2.3 Jenis dan Sumber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Data primer diperoleh secara langsung melalui wawancara dengan responden dan informan yang berkaitan dengan objek penelitian, yang mencakup unsur pemerintah daerah pada bagian pemerintahan dan bagian hukum beserta jajarannya, serta tokoh masyarakat adat yang mengetahui riwayat penguasaan tanah dan praktik penyelesaian sengketa di wilayah tersebut. Data sekunder diperoleh melalui penelitian kepustakaan berupa peraturan perundang-undangan, buku, artikel ilmiah, dokumen, dan bahan tertulis lain yang berkaitan erat dengan objek yang dibahas. Bahan hukum primer yang digunakan meliputi Undang-Undang Dasar Negara Republik Indonesia Tahun 1945, Kitab Undang-Undang Hukum Perdata, Undang-Undang Nomor 5 Tahun 1960, Undang-Undang Otonomi Khusus bagi Provinsi Papua, Peraturan Pemerintah Nomor 24 Tahun 1997, serta peraturan menteri di bidang pertanahan yang relevan.</w:t>
      </w:r>
    </w:p>
    <w:p>
      <w:pPr>
        <w:pStyle w:val="Heading2"/>
        <w:ind w:right="322"/>
        <w:rPr>
          <w:rStyle w:val="mediumtext"/>
        </w:rPr>
      </w:pPr>
      <w:r>
        <w:rPr>
          <w:rStyle w:val="mediumtext"/>
        </w:rPr>
        <w:t xml:space="preserve">2.4 Teknik Pengumpulan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Pengumpulan data dilakukan melalui dua teknik yang saling melengkapi. Penelitian kepustakaan (</w:t>
      </w:r>
      <w:r>
        <w:rPr>
          <w:rStyle w:val="longtext"/>
          <w:rFonts w:ascii="Segoe UI" w:hAnsi="Segoe UI" w:cs="Segoe UI"/>
          <w:i/>
          <w:iCs/>
          <w:sz w:val="22"/>
          <w:szCs w:val="22"/>
          <w:shd w:val="clear" w:color="auto" w:fill="FFFFFF"/>
          <w:lang w:val="id"/>
        </w:rPr>
        <w:t xml:space="preserve">library research</w:t>
      </w:r>
      <w:r>
        <w:rPr>
          <w:rStyle w:val="longtext"/>
          <w:rFonts w:ascii="Segoe UI" w:hAnsi="Segoe UI" w:cs="Segoe UI"/>
          <w:sz w:val="22"/>
          <w:szCs w:val="22"/>
          <w:shd w:val="clear" w:color="auto" w:fill="FFFFFF"/>
          <w:lang w:val="id"/>
        </w:rPr>
        <w:t xml:space="preserve">) digunakan untuk menghimpun peraturan perundang-undangan, literatur, artikel, dan dokumen yang berhubungan dengan objek penelitian. Penelitian lapangan (</w:t>
      </w:r>
      <w:r>
        <w:rPr>
          <w:rStyle w:val="longtext"/>
          <w:rFonts w:ascii="Segoe UI" w:hAnsi="Segoe UI" w:cs="Segoe UI"/>
          <w:i/>
          <w:iCs/>
          <w:sz w:val="22"/>
          <w:szCs w:val="22"/>
          <w:shd w:val="clear" w:color="auto" w:fill="FFFFFF"/>
          <w:lang w:val="id"/>
        </w:rPr>
        <w:t xml:space="preserve">field research</w:t>
      </w:r>
      <w:r>
        <w:rPr>
          <w:rStyle w:val="longtext"/>
          <w:rFonts w:ascii="Segoe UI" w:hAnsi="Segoe UI" w:cs="Segoe UI"/>
          <w:sz w:val="22"/>
          <w:szCs w:val="22"/>
          <w:shd w:val="clear" w:color="auto" w:fill="FFFFFF"/>
          <w:lang w:val="id"/>
        </w:rPr>
        <w:t xml:space="preserve">) dilakukan di Kabupaten Intan Jaya melalui wawancara langsung dengan pihak instansi terkait dan tokoh adat, disertai pengumpulan dokumen serta arsip penanganan sengketa. Wawancara dilakukan secara semi-terstruktur agar informan dapat menguraikan pengalamannya secara utuh, dan keterangan yang diperoleh dari satu informan dikonfirmasi silang dengan keterangan informan lain serta dengan dokumen yang tersedia sebelum digunakan sebagai dasar analisis.</w:t>
      </w:r>
    </w:p>
    <w:p>
      <w:pPr>
        <w:pStyle w:val="Heading2"/>
        <w:ind w:right="322"/>
        <w:rPr>
          <w:rStyle w:val="mediumtext"/>
        </w:rPr>
      </w:pPr>
      <w:r>
        <w:rPr>
          <w:rStyle w:val="mediumtext"/>
        </w:rPr>
        <w:t xml:space="preserve">2.5 Teknik Analisis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Data primer dan data sekunder dianalisis secara kualitatif dan diuraikan secara deskriptif melalui tiga tahap. Tahap pertama adalah reduksi dan penyusunan data, yaitu memilah keterangan informan dan dokumen menurut dua rumusan masalah. Tahap kedua adalah pemetaan pola, yaitu menyusun forum penyelesaian sengketa menurut urutan yang ditempuh masyarakat serta mengelompokkan hambatan menurut sumber persoalannya. Tahap ketiga adalah penilaian normatif, yaitu menghadapkan pola dan hambatan tersebut pada norma hukum yang berlaku untuk menilai apakah persoalan bersumber dari kekosongan hukum atau dari instrumen hukum yang belum dimanfaatkan.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Penarikan kesimpulan dilakukan secara induktif dari temuan lapangan menuju rumusan yang lebih umum, kemudian diuji kembali secara deduktif terhadap norma yang berlaku. Keterbatasan penelitian dikemukakan secara terbuka: karena lokusnya satu kabupaten dan jumlah informannya terbatas, temuan penelitian menggambarkan pola yang berlaku di wilayah tersebut dan tidak dimaksudkan untuk digeneralisasi ke seluruh Papua Tengah.</w:t>
      </w:r>
    </w:p>
    <w:p>
      <w:pPr>
        <w:pStyle w:val="Heading3"/>
        <w:ind w:firstLine="66"/>
      </w:pPr>
      <w:r>
        <w:t xml:space="preserve">HASIL DAN PEMBAHASAN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menyajikan temuan penelitian sekaligus analisisnya secara terpadu. Pembahasan disusun mengikuti dua rumusan masalah, yaitu upaya hukum penyelesaian sengketa dan kendala yang menyertainya, kemudian ditutup dengan penelusuran instrumen hukum yang tersedia untuk menjembatani keduanya.</w:t>
      </w:r>
    </w:p>
    <w:p>
      <w:pPr>
        <w:pStyle w:val="Heading2"/>
        <w:ind w:right="322"/>
        <w:rPr>
          <w:rStyle w:val="mediumtext"/>
        </w:rPr>
      </w:pPr>
      <w:r>
        <w:rPr>
          <w:rStyle w:val="mediumtext"/>
        </w:rPr>
        <w:t xml:space="preserve">3.1 Tangga Penyelesaian Sengketa yang Ditempuh Masyarakat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pertama penelitian ini adalah bahwa penyelesaian sengketa tanah adat di Kabupaten Intan Jaya tidak berlangsung sebagai pilihan tunggal antara jalur adat dan jalur pengadilan, melainkan sebagai tangga berjenjang yang ditempuh secara berurutan. Masyarakat menempatkan litigasi sebagai pilihan terakhir karena sengketa tanah dipahami bukan semata persoalan kepemilikan, melainkan menyangkut hubungan kekerabatan, kehormatan marga, dan keseimbangan hidup bersama. Urutan forum tersebut disajikan pada Tabel 1.</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1.</w:t>
      </w:r>
      <w:r>
        <w:rPr>
          <w:rFonts w:eastAsia="Constantia" w:cs="Segoe UI"/>
          <w:sz w:val="20"/>
          <w:szCs w:val="20"/>
          <w:lang w:val="id"/>
        </w:rPr>
        <w:t xml:space="preserve"> Jenjang Forum Penyelesaian Sengketa Tanah Adat di Kabupaten Intan Jaya</w:t>
      </w:r>
    </w:p>
    <w:tbl>
      <w:tblPr>
        <w:tblW w:w="0" w:type="auto"/>
        <w:jc w:val="center"/>
        <w:tblCellMar>
          <w:top w:w="40" w:type="dxa"/>
          <w:left w:w="80" w:type="dxa"/>
          <w:bottom w:w="40" w:type="dxa"/>
          <w:right w:w="80" w:type="dxa"/>
        </w:tblCellMar>
        <w:tblLook w:val="04A0" w:firstRow="1" w:lastRow="0" w:firstColumn="1" w:lastColumn="0" w:noHBand="0" w:noVBand="1"/>
      </w:tblPr>
      <w:tblGrid>
        <w:gridCol w:w="2000"/>
        <w:gridCol w:w="2700"/>
        <w:gridCol w:w="3100"/>
      </w:tblGrid>
      <w:tr>
        <w:trPr>
          <w:cantSplit/>
          <w:tblHeader/>
          <w:jc w:val="center"/>
        </w:trPr>
        <w:tc>
          <w:tcPr>
            <w:tcW w:w="2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Jenjang Forum</w:t>
            </w:r>
          </w:p>
        </w:tc>
        <w:tc>
          <w:tcPr>
            <w:tcW w:w="27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Pemimpin atau Fasilitator</w:t>
            </w:r>
          </w:p>
        </w:tc>
        <w:tc>
          <w:tcPr>
            <w:tcW w:w="31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Bentuk Hasil</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Musyawarah keluarga</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Tetua keluarga atau kepala marga</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Kesepakatan lisan dalam lingkup kekerabatan</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Sidang adat</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Kepala suku atau tokoh adat</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Keputusan adat, dapat disertai denda adat, ganti kerugian, atau ritual perdamaian</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Musyawarah kampung</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Kepala kampung bersama tokoh adat, agama, perempuan, dan pemuda</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Berita acara kesepakatan yang ditandatangani para pihak dan saksi</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Mediasi distrik</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Kepala distrik sebagai mediator</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Berita acara perdamaian, atau rekomendasi untuk melanjutkan ke Kantor Pertanahan</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Mediasi Kantor Pertanahan</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Pejabat Kantor Pertanahan</w:t>
            </w:r>
          </w:p>
        </w:tc>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Kesepakatan yang dapat ditindaklanjuti dalam administrasi pertanahan</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Peradilan</w:t>
            </w:r>
          </w:p>
        </w:tc>
        <w:tc>
          <w:tcPr>
            <w:tcW w:w="27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Hakim pada pengadilan negeri</w:t>
            </w:r>
          </w:p>
        </w:tc>
        <w:tc>
          <w:tcPr>
            <w:tcW w:w="31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Putusan yang mengikat, didahului mediasi sesuai ketentuan yang berlaku</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hasil wawancara dan studi dokumen di Kabupaten Intan Jaya (2026)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1 memperlihatkan logika yang konsisten: semakin ke atas tangga, semakin kuat kekuatan mengikat secara formal, tetapi semakin lemah pula daya pulih hubungan sosialnya. Sidang adat yang dipimpin kepala suku, misalnya, menghasilkan keputusan yang umumnya dipatuhi secara sukarela karena bersandar pada kewibawaan adat, kadang disertai denda adat, ganti kerugian, atau ritual sebagai simbol pulihnya hubungan. Sebaliknya, putusan pengadilan mengikat secara hukum tetapi berpotensi meninggalkan ketegangan antarmarga.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yuridis, tangga tersebut memiliki dasar hukum yang memadai. Pengakuan terhadap forum adat bersandar pada Pasal 18B ayat (2) Undang-Undang Dasar Negara Republik Indonesia Tahun 1945 dan Pasal 3 Undang-Undang Nomor 5 Tahun 1960, diperkuat oleh Undang-Undang Otonomi Khusus bagi Provinsi Papua yang mengakui peradilan adat sebagai peradilan perdamaian di lingkungan masyarakat hukum adat. Mediasi pada Kantor Pertanahan memiliki dasar dalam Peraturan Menteri Agraria dan Tata Ruang/Kepala Badan Pertanahan Nasional Nomor 21 Tahun 2020 tentang Penanganan dan Penyelesaian Kasus Pertanahan, sedangkan pada tahap litigasi, Peraturan Mahkamah Agung Nomor 1 Tahun 2016 mewajibkan mediasi sebelum perkara diperiksa. Berdasarkan konstruksi hukum tersebut, penulis berpendapat bahwa preferensi masyarakat pada penyelesaian damai bukan penyimpangan dari hukum nasional, melainkan justru sejalan dengan arah kebijakan hukum penyelesaian sengketa pertanahan.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Kelemahannya terletak pada sambungan antarjenjang. Keputusan adat memiliki legitimasi sosial yang kuat tetapi tidak selalu terdokumentasi, sehingga tidak dapat diteruskan sebagai dasar pencatatan dalam administrasi pertanahan. Akibatnya, sengketa yang telah selesai secara sosial dapat hidup kembali pada generasi berikutnya. Temuan tersebut memperlihatkan bahwa persoalan utama bukan pada keabsahan forum adat, melainkan pada ketiadaan jembatan dokumentatif antara forum adat dan sistem pendaftaran tanah.</w:t>
      </w:r>
    </w:p>
    <w:p>
      <w:pPr>
        <w:pStyle w:val="Heading2"/>
        <w:ind w:right="322"/>
        <w:rPr>
          <w:rStyle w:val="mediumtext"/>
        </w:rPr>
      </w:pPr>
      <w:r>
        <w:rPr>
          <w:rStyle w:val="mediumtext"/>
        </w:rPr>
        <w:t xml:space="preserve">3.2 Kendala Penyelesaian Sengketa dan Sumber Persoalannya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kedua penelitian ini adalah adanya empat kendala yang berulang dalam setiap jenjang penyelesaian. Keempatnya beserta sumber persoalan dan implikasinya disajikan pada Tabel 2.</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2.</w:t>
      </w:r>
      <w:r>
        <w:rPr>
          <w:rFonts w:eastAsia="Constantia" w:cs="Segoe UI"/>
          <w:sz w:val="20"/>
          <w:szCs w:val="20"/>
          <w:lang w:val="id"/>
        </w:rPr>
        <w:t xml:space="preserve"> Kendala Penyelesaian Sengketa dan Tujuan Hukum yang Terganggu</w:t>
      </w:r>
    </w:p>
    <w:tbl>
      <w:tblPr>
        <w:tblW w:w="0" w:type="auto"/>
        <w:jc w:val="center"/>
        <w:tblCellMar>
          <w:top w:w="40" w:type="dxa"/>
          <w:left w:w="80" w:type="dxa"/>
          <w:bottom w:w="40" w:type="dxa"/>
          <w:right w:w="80" w:type="dxa"/>
        </w:tblCellMar>
        <w:tblLook w:val="04A0" w:firstRow="1" w:lastRow="0" w:firstColumn="1" w:lastColumn="0" w:noHBand="0" w:noVBand="1"/>
      </w:tblPr>
      <w:tblGrid>
        <w:gridCol w:w="2100"/>
        <w:gridCol w:w="3700"/>
        <w:gridCol w:w="2000"/>
      </w:tblGrid>
      <w:tr>
        <w:trPr>
          <w:cantSplit/>
          <w:tblHeader/>
          <w:jc w:val="center"/>
        </w:trPr>
        <w:tc>
          <w:tcPr>
            <w:tcW w:w="21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Kendala</w:t>
            </w:r>
          </w:p>
        </w:tc>
        <w:tc>
          <w:tcPr>
            <w:tcW w:w="37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Sumber Persoalan</w:t>
            </w:r>
          </w:p>
        </w:tc>
        <w:tc>
          <w:tcPr>
            <w:tcW w:w="2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Tujuan Hukum yang Terganggu</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Sulitnya pembuktian perjanjian lisan</w:t>
            </w:r>
          </w:p>
        </w:tc>
        <w:tc>
          <w:tcPr>
            <w:tcW w:w="3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Ketiadaan dokumen tertulis; alat bukti bertumpu pada saksi yang rentan memudar dan berkurang</w:t>
            </w:r>
          </w:p>
        </w:tc>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Kepastian hukum</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Belum optimalnya administrasi pertanahan</w:t>
            </w:r>
          </w:p>
        </w:tc>
        <w:tc>
          <w:tcPr>
            <w:tcW w:w="3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Keterbatasan geografis dan kelembagaan; banyak bidang tanah belum terpetakan dan batas ditentukan oleh tanda alam</w:t>
            </w:r>
          </w:p>
        </w:tc>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Kepastian hukum dan kemanfaatan</w:t>
            </w:r>
          </w:p>
        </w:tc>
      </w:tr>
      <w:tr>
        <w:trPr>
          <w:cantSplit/>
          <w:jc w:val="center"/>
        </w:trPr>
        <w:tc>
          <w:tcPr>
            <w:tcW w:w="2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Perbedaan perspektif hukum adat dan hukum nasional</w:t>
            </w:r>
          </w:p>
        </w:tc>
        <w:tc>
          <w:tcPr>
            <w:tcW w:w="3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Hukum adat mengutamakan pemulihan keseimbangan sosial, hukum nasional mengutamakan pencatatan dan bukti tertulis</w:t>
            </w:r>
          </w:p>
        </w:tc>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Keadilan</w:t>
            </w:r>
          </w:p>
        </w:tc>
      </w:tr>
      <w:tr>
        <w:trPr>
          <w:cantSplit/>
          <w:jc w:val="center"/>
        </w:trPr>
        <w:tc>
          <w:tcPr>
            <w:tcW w:w="21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Rendahnya kesadaran hukum masyarakat</w:t>
            </w:r>
          </w:p>
        </w:tc>
        <w:tc>
          <w:tcPr>
            <w:tcW w:w="37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Transaksi tanah tidak diikuti pencatatan maupun pendaftaran tanah</w:t>
            </w:r>
          </w:p>
        </w:tc>
        <w:tc>
          <w:tcPr>
            <w:tcW w:w="20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Kemanfaatan</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hasil wawancara dan studi dokumen di Kabupaten Intan Jaya (2026)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Kendala pembuktian menempati posisi paling menentukan. Perlu ditegaskan bahwa perjanjian lisan bukanlah perjanjian yang tidak dapat dibuktikan. Pasal 1866 Kitab Undang-Undang Hukum Perdata menempatkan keterangan saksi dan persangkaan sebagai alat bukti yang sah di samping bukti tulisan, sehingga kesaksian kepala suku dan tokoh adat secara hukum tetap bernilai. Persoalannya terletak pada kerapuhan alat bukti tersebut: ingatan memudar, saksi meninggal dunia, dan Pasal 1905 Kitab Undang-Undang Hukum Perdata menentukan bahwa keterangan seorang saksi saja tanpa alat bukti lain tidak cukup untuk dipercaya. Secara yuridis, yang terjadi bukan ketiadaan alat bukti, melainkan turunnya kualitas pembuktian.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Kendala kedua, belum optimalnya administrasi pertanahan, bersumber dari keadaan geografis dan keterbatasan kelembagaan. Banyak bidang tanah belum terpetakan, riwayat penguasaan tidak terdokumentasi, dan batas ditentukan melalui tanda alam berupa sungai, pohon besar, batu, atau punggung bukit yang dapat berubah oleh faktor alam maupun aktivitas manusia. Kendala ketiga berupa perbedaan perspektif merupakan konsekuensi dari dua rasionalitas yang berbeda: hukum adat mengutamakan pemulihan keseimbangan sosial dan pengakuan masyarakat, sedangkan hukum nasional mengutamakan kepastian melalui pencatatan dan alat bukti tertulis. Kendala keempat berupa rendahnya kesadaran hukum tampak dari masih banyaknya transaksi yang tidak diikuti pencatatan maupun pendaftaran tanah.</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Jika dikaitkan dengan teori tujuan hukum, keempat kendala tersebut berdampak berbeda-beda. Kendala pembuktian dan administrasi terutama melukai kepastian hukum, kendala perbedaan perspektif menyentuh keadilan karena pihak yang kuat secara adat dapat menjadi lemah secara formal, sedangkan rendahnya kesadaran hukum mengurangi kemanfaatan karena tanah yang tidak terdaftar tidak dapat dimanfaatkan secara optimal. Menurut analisis penulis, keempatnya bertemu pada satu titik yang sama, yaitu tidak adanya dokumen yang menghubungkan peristiwa adat dengan sistem administrasi negara.</w:t>
      </w:r>
    </w:p>
    <w:p>
      <w:pPr>
        <w:pStyle w:val="Heading2"/>
        <w:ind w:right="322"/>
        <w:rPr>
          <w:rStyle w:val="mediumtext"/>
        </w:rPr>
      </w:pPr>
      <w:r>
        <w:rPr>
          <w:rStyle w:val="mediumtext"/>
        </w:rPr>
        <w:t xml:space="preserve">3.3 Instrumen Hukum yang Tersedia namun Belum Dimanfaatkan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ketiga penelitian ini bersifat korektif terhadap cara persoalan tersebut biasa dirumuskan. Kendala yang dihadapi masyarakat Kabupaten Intan Jaya lebih tepat dibaca sebagai instrumen hukum yang belum dimanfaatkan daripada sebagai kekosongan hukum. Instrumen yang tersedia beserta fungsinya disajikan pada Tabel 3.</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3.</w:t>
      </w:r>
      <w:r>
        <w:rPr>
          <w:rFonts w:eastAsia="Constantia" w:cs="Segoe UI"/>
          <w:sz w:val="20"/>
          <w:szCs w:val="20"/>
          <w:lang w:val="id"/>
        </w:rPr>
        <w:t xml:space="preserve"> Instrumen Hukum yang Tersedia untuk Menjembatani Hukum Adat dan Administrasi Pertanahan</w:t>
      </w:r>
    </w:p>
    <w:tbl>
      <w:tblPr>
        <w:tblW w:w="0" w:type="auto"/>
        <w:jc w:val="center"/>
        <w:tblCellMar>
          <w:top w:w="40" w:type="dxa"/>
          <w:left w:w="80" w:type="dxa"/>
          <w:bottom w:w="40" w:type="dxa"/>
          <w:right w:w="80" w:type="dxa"/>
        </w:tblCellMar>
        <w:tblLook w:val="04A0" w:firstRow="1" w:lastRow="0" w:firstColumn="1" w:lastColumn="0" w:noHBand="0" w:noVBand="1"/>
      </w:tblPr>
      <w:tblGrid>
        <w:gridCol w:w="3100"/>
        <w:gridCol w:w="4700"/>
      </w:tblGrid>
      <w:tr>
        <w:trPr>
          <w:cantSplit/>
          <w:tblHeader/>
          <w:jc w:val="center"/>
        </w:trPr>
        <w:tc>
          <w:tcPr>
            <w:tcW w:w="31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Instrumen Hukum</w:t>
            </w:r>
          </w:p>
        </w:tc>
        <w:tc>
          <w:tcPr>
            <w:tcW w:w="47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Fungsi dalam Penyelesaian Sengketa</w:t>
            </w:r>
          </w:p>
        </w:tc>
      </w:tr>
      <w:tr>
        <w:trPr>
          <w:cantSplit/>
          <w:jc w:val="center"/>
        </w:trPr>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1866 dan Pasal 1905 KUH Perdata</w:t>
            </w:r>
          </w:p>
        </w:tc>
        <w:tc>
          <w:tcPr>
            <w:tcW w:w="4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Menegaskan kesaksian sebagai alat bukti yang sah, sekaligus mensyaratkan dukungan alat bukti lain</w:t>
            </w:r>
          </w:p>
        </w:tc>
      </w:tr>
      <w:tr>
        <w:trPr>
          <w:cantSplit/>
          <w:jc w:val="center"/>
        </w:trPr>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1875 KUH Perdata</w:t>
            </w:r>
          </w:p>
        </w:tc>
        <w:tc>
          <w:tcPr>
            <w:tcW w:w="4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Memberi kekuatan pembuktian sempurna kepada berita acara musyawarah sebagai akta di bawah tangan yang diakui</w:t>
            </w:r>
          </w:p>
        </w:tc>
      </w:tr>
      <w:tr>
        <w:trPr>
          <w:cantSplit/>
          <w:jc w:val="center"/>
        </w:trPr>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24 ayat (2) PP Nomor 24 Tahun 1997</w:t>
            </w:r>
          </w:p>
        </w:tc>
        <w:tc>
          <w:tcPr>
            <w:tcW w:w="4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Membuka pembukuan hak berdasarkan penguasaan fisik dua puluh tahun berturut-turut yang diperkuat kesaksian</w:t>
            </w:r>
          </w:p>
        </w:tc>
      </w:tr>
      <w:tr>
        <w:trPr>
          <w:cantSplit/>
          <w:jc w:val="center"/>
        </w:trPr>
        <w:tc>
          <w:tcPr>
            <w:tcW w:w="31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Permen ATR/BPN Nomor 21 Tahun 2020</w:t>
            </w:r>
          </w:p>
        </w:tc>
        <w:tc>
          <w:tcPr>
            <w:tcW w:w="4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Menyediakan dasar hukum mediasi sengketa pertanahan pada Kantor Pertanahan</w:t>
            </w:r>
          </w:p>
        </w:tc>
      </w:tr>
      <w:tr>
        <w:trPr>
          <w:cantSplit/>
          <w:jc w:val="center"/>
        </w:trPr>
        <w:tc>
          <w:tcPr>
            <w:tcW w:w="31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Permen ATR/BPN Nomor 14 Tahun 2024</w:t>
            </w:r>
          </w:p>
        </w:tc>
        <w:tc>
          <w:tcPr>
            <w:tcW w:w="4700" w:type="dxa"/>
            <w:tcBorders>
              <w:top w:val="single" w:sz="4" w:space="0" w:color="auto"/>
              <w:bottom w:val="single" w:sz="4" w:space="0" w:color="auto"/>
            </w:tcBorders>
            <w:vAlign w:val="center"/>
          </w:tcPr>
          <w:p>
            <w:pPr>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Menyediakan tiga bentuk pengadministrasian dan pendaftaran tanah hak ulayat masyarakat hukum adat</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peraturan perundang-undangan yang berlaku</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Instrumen yang paling langsung menjawab kendala pembuktian adalah Pasal 24 ayat (2) Peraturan Pemerintah Nomor 24 Tahun 1997 tentang Pendaftaran Tanah. Ketentuan tersebut membuka kemungkinan pembukuan hak berdasarkan kenyataan penguasaan fisik selama dua puluh tahun berturut-turut yang diperkuat kesaksian orang yang dapat dipercaya, ketika bukti kepemilikan tidak lengkap atau tidak tersedia. Justru pada titik inilah kesaksian kepala suku dan tokoh adat memperoleh tempat yang paling produktif, karena bukan lagi dipakai untuk melawan dokumen, melainkan untuk melahirkan dokumen.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Instrumen kedua terletak pada hukum pembuktian perdata itu sendiri. Berita acara musyawarah adat yang ditandatangani para pihak, kepala suku, kepala kampung, dan para saksi berkedudukan sebagai akta di bawah tangan. Berdasarkan Pasal 1875 Kitab Undang-Undang Hukum Perdata, akta di bawah tangan yang tanda tangannya diakui memiliki kekuatan pembuktian yang sama dengan akta autentik bagi para penandatangannya. Dengan demikian, saran agar setiap penyelesaian adat dituangkan secara tertulis bukan sekadar anjuran administratif, melainkan langkah yang secara yuridis mengubah kedudukan pembuktian para pihak.</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Instrumen ketiga bersifat kelembagaan dan merupakan perkembangan terbaru. Peraturan Menteri Agraria dan Tata Ruang/Kepala Badan Pertanahan Nasional Nomor 14 Tahun 2024 tentang Penyelenggaraan Administrasi Pertanahan dan Pendaftaran Tanah Hak Ulayat Masyarakat Hukum Adat menyediakan tiga bentuk pengadministrasian, yaitu tercatat dalam daftar tanah ulayat, terdaftar sebagai hak pengelolaan, dan terdaftar sebagai hak milik bersama. Peraturan ini juga menempatkan pemerintah pada posisi yang lebih aktif dalam inventarisasi dan identifikasi, sehingga proses tidak lagi sepenuhnya bergantung pada inisiatif masyarakat hukum adat. Ketentuan tersebut menjawab langsung kendala administrasi yang selama ini dirasakan, karena pengadministrasian tanah ulayat tidak lagi harus menunggu keseluruhan prosedur pengakuan sebagaimana pola sebelumnya.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konstruksi hukum tersebut, penulis mengusulkan satu alur kerja yang menyambungkan seluruh jenjang. Setiap penyelesaian pada forum adat, musyawarah kampung, maupun mediasi distrik dituangkan dalam berita acara baku yang memuat identitas para pihak, uraian objek beserta batas dan sketsa, riwayat penguasaan, isi kesepakatan, serta tanda tangan para saksi. Berita acara tersebut kemudian disampaikan kepada pemerintah kampung untuk dihimpun dalam basis data pertanahan kampung, dan diteruskan kepada Kantor Pertanahan sebagai bahan pendaftaran tanah atau pencatatan tanah ulayat. Dengan alur demikian, nilai musyawarah tetap terpelihara, sementara hasilnya memperoleh kedudukan dalam sistem hukum nasional.</w:t>
      </w:r>
    </w:p>
    <w:p>
      <w:pPr>
        <w:pStyle w:val="Heading3"/>
        <w:ind w:firstLine="66"/>
      </w:pPr>
      <w:r>
        <w:t xml:space="preserve">KESIMPULAN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Upaya hukum penyelesaian sengketa hak atas tanah adat berdasarkan perjanjian lisan di Kabupaten Intan Jaya Provinsi Papua Tengah dilakukan secara bertahap dengan mengedepankan penyelesaian nonlitigasi sebelum menempuh jalur peradilan. Penyelesaian diawali melalui musyawarah keluarga, dilanjutkan dengan mekanisme hukum adat yang dipimpin oleh kepala suku, kemudian melalui musyawarah kampung dan mediasi di tingkat distrik. Apabila belum tercapai kesepakatan, para pihak dapat menempuh mediasi melalui Kantor Pertanahan atau mengajukan gugatan ke pengadilan sesuai ketentuan hukum yang berlaku. Rangkaian tersebut bukan pilihan yang saling meniadakan, melainkan satu tangga berjenjang yang secara yuridis memiliki dasar hukum yang memadai, tetapi kehilangan daya gunanya karena setiap jenjang tidak tersambung oleh dokumen yang dapat diteruskan ke jenjang berikutnya.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Kendala-kendala yang dihadapi meliputi sulitnya pembuktian terhadap perjanjian lisan karena tidak adanya dokumen tertulis, belum optimalnya administrasi pertanahan, perbedaan perspektif antara hukum adat dan hukum nasional mengenai pembuktian dan peralihan hak, serta masih rendahnya kesadaran hukum masyarakat mengenai pentingnya pendaftaran tanah dan pencatatan setiap transaksi pertanahan. Keempat kendala tersebut bertemu pada satu akar yang sama, yaitu tidak tersedianya dokumen yang menghubungkan peristiwa adat dengan administrasi negara, dan karenanya lebih tepat dipahami sebagai instrumen hukum yang belum dimanfaatkan daripada sebagai kekosongan hukum.</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temuan tersebut disarankan agar pemerintah kampung dan pemerintah distrik menuangkan setiap hasil musyawarah dalam berita acara tertulis yang ditandatangani para pihak, kepala kampung, kepala suku, dan para saksi, karena dokumen demikian berkedudukan sebagai akta di bawah tangan yang kekuatan pembuktiannya sepadan dengan akta autentik apabila tanda tangannya diakui. Kantor Pertanahan Kabupaten Intan Jaya disarankan meningkatkan pembinaan dan pelayanan administrasi pertanahan atas tanah yang berasal dari penguasaan adat, termasuk memanfaatkan mekanisme pembukuan hak berdasarkan penguasaan fisik yang diperkuat kesaksian, serta menempuh pengadministrasian tanah ulayat sesuai ketentuan yang berlaku sejak tahun 2024.</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Pemerintah Kabupaten Intan Jaya disarankan memperkuat sinergi dengan pemerintah kampung, pemerintah distrik, dan lembaga adat melalui penyusunan basis data pertanahan berbasis kampung dan pemetaan wilayah adat sebagai langkah pencegahan sengketa. Lembaga adat dan kepala suku diharapkan tetap memelihara nilai musyawarah dan perdamaian sebagai kearifan lokal, sekaligus mendorong agar setiap peralihan hak disertai pencatatan yang memadai. Bagi penelitian selanjutnya, disarankan menguji efektivitas alur kerja tersebut secara empiris dan memperluas lokasi penelitian ke daerah lain di Papua Tengah agar diperoleh gambaran yang lebih komprehensif.</w:t>
      </w:r>
    </w:p>
    <w:p>
      <w:pPr>
        <w:pStyle w:val="IEEEHeading1"/>
        <w:numPr>
          <w:ilvl w:val="0"/>
          <w:numId w:val="0"/>
        </w:numPr>
        <w:ind w:firstLine="567"/>
        <w:jc w:val="both"/>
        <w:rPr>
          <w:rFonts w:ascii="Segoe UI" w:hAnsi="Segoe UI" w:cs="Segoe UI"/>
          <w:b/>
          <w:bCs/>
          <w:sz w:val="24"/>
          <w:lang w:val="id"/>
        </w:rPr>
      </w:pPr>
      <w:r>
        <w:rPr>
          <w:rFonts w:ascii="Segoe UI" w:hAnsi="Segoe UI" w:cs="Segoe UI"/>
          <w:b/>
          <w:bCs/>
          <w:sz w:val="24"/>
          <w:lang w:val="id"/>
        </w:rPr>
        <w:t>Referensi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Abdulkadir Muhammad. (2014). </w:t>
      </w:r>
      <w:r>
        <w:rPr>
          <w:rFonts w:cs="Segoe UI"/>
          <w:i/>
          <w:iCs/>
          <w:noProof/>
        </w:rPr>
        <w:t xml:space="preserve">Hukum perdata Indonesia</w:t>
      </w:r>
      <w:r>
        <w:rPr>
          <w:rFonts w:cs="Segoe UI"/>
          <w:noProof/>
        </w:rPr>
        <w:t xml:space="preserve">. Citra Aditya Bakti.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Ahmadi Miru, &amp; Sakka Pati. (2014). </w:t>
      </w:r>
      <w:r>
        <w:rPr>
          <w:rFonts w:cs="Segoe UI"/>
          <w:i/>
          <w:iCs/>
          <w:noProof/>
        </w:rPr>
        <w:t xml:space="preserve">Hukum perikatan: Penjelasan makna Pasal 1233 sampai 1456 BW</w:t>
      </w:r>
      <w:r>
        <w:rPr>
          <w:rFonts w:cs="Segoe UI"/>
          <w:noProof/>
        </w:rPr>
        <w:t xml:space="preserve">. Rajawali Pers.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Badrulzaman, M. D. (2001). </w:t>
      </w:r>
      <w:r>
        <w:rPr>
          <w:rFonts w:cs="Segoe UI"/>
          <w:i/>
          <w:iCs/>
          <w:noProof/>
        </w:rPr>
        <w:t xml:space="preserve">Kompilasi hukum perikatan</w:t>
      </w:r>
      <w:r>
        <w:rPr>
          <w:rFonts w:cs="Segoe UI"/>
          <w:noProof/>
        </w:rPr>
        <w:t xml:space="preserve">. Citra Aditya Bakti.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Hadjon, P. M. (1987). </w:t>
      </w:r>
      <w:r>
        <w:rPr>
          <w:rFonts w:cs="Segoe UI"/>
          <w:i/>
          <w:iCs/>
          <w:noProof/>
        </w:rPr>
        <w:t xml:space="preserve">Perlindungan hukum bagi rakyat Indonesia</w:t>
      </w:r>
      <w:r>
        <w:rPr>
          <w:rFonts w:cs="Segoe UI"/>
          <w:noProof/>
        </w:rPr>
        <w:t xml:space="preserve">. Bina Ilmu.</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Harahap, M. Y. (2005). </w:t>
      </w:r>
      <w:r>
        <w:rPr>
          <w:rFonts w:cs="Segoe UI"/>
          <w:i/>
          <w:iCs/>
          <w:noProof/>
        </w:rPr>
        <w:t xml:space="preserve">Hukum acara perdata</w:t>
      </w:r>
      <w:r>
        <w:rPr>
          <w:rFonts w:cs="Segoe UI"/>
          <w:noProof/>
        </w:rPr>
        <w:t xml:space="preserve">. Sinar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Marzuki, P. M. (2008). </w:t>
      </w:r>
      <w:r>
        <w:rPr>
          <w:rFonts w:cs="Segoe UI"/>
          <w:i/>
          <w:iCs/>
          <w:noProof/>
        </w:rPr>
        <w:t xml:space="preserve">Pengantar ilmu hukum</w:t>
      </w:r>
      <w:r>
        <w:rPr>
          <w:rFonts w:cs="Segoe UI"/>
          <w:noProof/>
        </w:rPr>
        <w:t xml:space="preserve">. Kencana.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Mertokusumo, S. (2009). </w:t>
      </w:r>
      <w:r>
        <w:rPr>
          <w:rFonts w:cs="Segoe UI"/>
          <w:i/>
          <w:iCs/>
          <w:noProof/>
        </w:rPr>
        <w:t xml:space="preserve">Hukum acara perdata Indonesia</w:t>
      </w:r>
      <w:r>
        <w:rPr>
          <w:rFonts w:cs="Segoe UI"/>
          <w:noProof/>
        </w:rPr>
        <w:t xml:space="preserve">. Liberty.</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Muchsin. (2003). </w:t>
      </w:r>
      <w:r>
        <w:rPr>
          <w:rFonts w:cs="Segoe UI"/>
          <w:i/>
          <w:iCs/>
          <w:noProof/>
        </w:rPr>
        <w:t xml:space="preserve">Perlindungan dan kepastian hukum bagi investor di Indonesia</w:t>
      </w:r>
      <w:r>
        <w:rPr>
          <w:rFonts w:cs="Segoe UI"/>
          <w:noProof/>
        </w:rPr>
        <w:t xml:space="preserve">. Universitas Sebelas Maret.</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Prodjodikoro, W. (2011). </w:t>
      </w:r>
      <w:r>
        <w:rPr>
          <w:rFonts w:cs="Segoe UI"/>
          <w:i/>
          <w:iCs/>
          <w:noProof/>
        </w:rPr>
        <w:t xml:space="preserve">Asas-asas hukum perjanjian</w:t>
      </w:r>
      <w:r>
        <w:rPr>
          <w:rFonts w:cs="Segoe UI"/>
          <w:noProof/>
        </w:rPr>
        <w:t xml:space="preserve">. Mandar Maju.</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Raharjo, S. (2000). </w:t>
      </w:r>
      <w:r>
        <w:rPr>
          <w:rFonts w:cs="Segoe UI"/>
          <w:i/>
          <w:iCs/>
          <w:noProof/>
        </w:rPr>
        <w:t xml:space="preserve">Ilmu hukum</w:t>
      </w:r>
      <w:r>
        <w:rPr>
          <w:rFonts w:cs="Segoe UI"/>
          <w:noProof/>
        </w:rPr>
        <w:t xml:space="preserve">. Citra Aditya Bakti.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Salim H. S. (2003). </w:t>
      </w:r>
      <w:r>
        <w:rPr>
          <w:rFonts w:cs="Segoe UI"/>
          <w:i/>
          <w:iCs/>
          <w:noProof/>
        </w:rPr>
        <w:t xml:space="preserve">Hukum kontrak: Teori &amp; teknik penyusunan kontrak</w:t>
      </w:r>
      <w:r>
        <w:rPr>
          <w:rFonts w:cs="Segoe UI"/>
          <w:noProof/>
        </w:rPr>
        <w:t xml:space="preserve">. Sinar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Santoso, A. (2014). </w:t>
      </w:r>
      <w:r>
        <w:rPr>
          <w:rFonts w:cs="Segoe UI"/>
          <w:i/>
          <w:iCs/>
          <w:noProof/>
        </w:rPr>
        <w:t xml:space="preserve">Hukum, moral &amp; keadilan: Sebuah kajian filsafat hukum</w:t>
      </w:r>
      <w:r>
        <w:rPr>
          <w:rFonts w:cs="Segoe UI"/>
          <w:noProof/>
        </w:rPr>
        <w:t xml:space="preserve"> (Cet. 2). Kencana.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Subekti. (2005). </w:t>
      </w:r>
      <w:r>
        <w:rPr>
          <w:rFonts w:cs="Segoe UI"/>
          <w:i/>
          <w:iCs/>
          <w:noProof/>
        </w:rPr>
        <w:t xml:space="preserve">Hukum perjanjian</w:t>
      </w:r>
      <w:r>
        <w:rPr>
          <w:rFonts w:cs="Segoe UI"/>
          <w:noProof/>
        </w:rPr>
        <w:t xml:space="preserve"> (Cet. 21). Intermasa.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Sutantio, R., &amp; Oeripkartawinata, I. (1995). </w:t>
      </w:r>
      <w:r>
        <w:rPr>
          <w:rFonts w:cs="Segoe UI"/>
          <w:i/>
          <w:iCs/>
          <w:noProof/>
        </w:rPr>
        <w:t xml:space="preserve">Hukum acara perdata dalam teori dan praktek</w:t>
      </w:r>
      <w:r>
        <w:rPr>
          <w:rFonts w:cs="Segoe UI"/>
          <w:noProof/>
        </w:rPr>
        <w:t xml:space="preserve">. Mandar Maju.</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Dasar Negara Republik Indonesia Tahun 1945.</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Kitab Undang-Undang Hukum Perdata (</w:t>
      </w:r>
      <w:r>
        <w:rPr>
          <w:rFonts w:cs="Segoe UI"/>
          <w:i/>
          <w:iCs/>
          <w:noProof/>
        </w:rPr>
        <w:t xml:space="preserve">Burgerlijk Wetboek</w:t>
      </w:r>
      <w:r>
        <w:rPr>
          <w:rFonts w:cs="Segoe UI"/>
          <w:noProof/>
        </w:rPr>
        <w:t xml:space="preserve">).</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5 Tahun 1960 tentang Peraturan Dasar Pokok-Pokok Agraria.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21 Tahun 2001 tentang Otonomi Khusus bagi Provinsi Papua sebagaimana telah diubah dengan Undang-Undang Republik Indonesia Nomor 2 Tahun 2021.</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15 Tahun 2022 tentang Pembentukan Provinsi Papua Tengah.</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Pemerintah Republik Indonesia Nomor 24 Tahun 1997 tentang Pendaftaran Tanah.</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Menteri Agraria dan Tata Ruang/Kepala Badan Pertanahan Nasional Republik Indonesia Nomor 18 Tahun 2019 tentang Tata Cara Penatausahaan Tanah Ulayat Kesatuan Masyarakat Hukum Adat.</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Menteri Agraria dan Tata Ruang/Kepala Badan Pertanahan Nasional Republik Indonesia Nomor 21 Tahun 2020 tentang Penanganan dan Penyelesaian Kasus Pertanahan.</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Menteri Agraria dan Tata Ruang/Kepala Badan Pertanahan Nasional Republik Indonesia Nomor 14 Tahun 2024 tentang Penyelenggaraan Administrasi Pertanahan dan Pendaftaran Tanah Hak Ulayat Masyarakat Hukum Adat.</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Mahkamah Agung Republik Indonesia Nomor 1 Tahun 2016 tentang Prosedur Mediasi di Pengadilan.</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Titus Agimbau</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