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Loyalitas Komando versus Supremasi Hukum: Kepatuhan Bersyarat dan Pertanggungjawaban Pidana Prajurit TNI</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id"/>
        </w:rPr>
        <w:t xml:space="preserve">Vaydel Dondan Bara'tiku</w:t>
      </w:r>
      <w:r>
        <w:rPr>
          <w:rFonts w:cs="Segoe UI"/>
          <w:b/>
          <w:bCs/>
          <w:sz w:val="24"/>
          <w:szCs w:val="24"/>
          <w:lang w:val="id"/>
          <w:vertAlign w:val="superscript"/>
        </w:rPr>
        <w:t>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vaydel@ukipaulus.ac.id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conditional obedience, superior orders, military criminal law, individual criminal responsibility, command responsibility</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kepatuhan bersyarat, perintah atasan, hukum pidana militer, pertanggungjawaban pidana individual, tanggung jawab komando</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The command structure of the Indonesian National Armed Forces places soldiers in a dilemma when an order from a superior conflicts with the law. This study examines the legal limits of a soldier's duty to obey and the criminal liability arising when an offence is committed under command. It is normative legal research in the form of a legal memorandum, using statutory, conceptual, and comparative approaches, with legal materials gathered through library research and analysed descriptively and qualitatively. The findings show that Indonesian law adopts conditional rather than absolute obedience: the duty to obey is bounded by the legality of the order, the competence of the issuing officer, and human rights standards, so that a manifestly unlawful order creates no legal duty to comply. Criminal liability remains individual and is distributed rather than transferred, since a superior may also be held liable for ordering, permitting, or failing to prevent an offence. Two recent developments sharpen this analysis: the National Criminal Code, in force since 2 January 2026, separates lawful and unlawful official orders into distinct provisions, while the 2025 amendment to the Armed Forces Act left the jurisdictional provisions untouched, leaving institutional reform of military justice outstanding.</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Struktur komando Tentara Nasional Indonesia menempatkan prajurit dalam posisi dilematis ketika perintah atasan bersinggungan dengan ketentuan hukum. Penelitian ini mengkaji batas yuridis kewajiban ketaatan prajurit terhadap perintah atasan dan pertanggungjawaban pidana yang timbul ketika tindak pidana dilakukan atas dasar atau di bawah pengaruh komando. Penelitian merupakan penelitian hukum normatif berbentuk legal memorandum dengan pendekatan perundang-undangan, konseptual, dan perbandingan; bahan hukum dihimpun melalui studi kepustakaan dan dianalisis secara deskriptif-kualitatif. Hasil penelitian menunjukkan bahwa hukum Indonesia menganut kepatuhan bersyarat dan bukan kepatuhan mutlak, karena kewajiban menaati perintah dibatasi oleh legalitas perintah, kewenangan pemberi perintah, dan standar hak asasi manusia, sehingga perintah yang nyata-nyata melawan hukum tidak melahirkan kewajiban hukum untuk dilaksanakan. Pertanggungjawaban pidana tetap bersifat individual dan terdistribusi, bukan beralih, karena atasan juga dapat dimintai pertanggungjawaban apabila memerintahkan, membiarkan, atau gagal mencegah terjadinya tindak pidana. Dua perkembangan terbaru mempertajam analisis ini, yaitu berlakunya Kitab Undang-Undang Hukum Pidana Nasional sejak 2 Januari 2026 yang memisahkan pengaturan perintah jabatan sah dan tidak sah ke dalam pasal berbeda, serta tidak diubahnya ketentuan yurisdiksi peradilan dalam perubahan Undang-Undang Tentara Nasional Indonesia pada tahun 2025.</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10-08-2026, Disetujui: (diisi editor), Dipublikasikan: (diisi editor)</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pPr>
        <w:pStyle w:val="Heading3"/>
        <w:ind w:firstLine="66"/>
      </w:pPr>
      <w:r>
        <w:t xml:space="preserve">PENDAHULUAN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Tentara Nasional Indonesia bekerja di atas struktur komando yang ketat dan hierarkis. Struktur itu bukan pilihan organisasi yang bersifat kebetulan, melainkan syarat bagi efektivitas operasional pertahanan negara: keputusan harus dapat diteruskan secara cepat, dipahami secara seragam, dan dilaksanakan tanpa keraguan. Konsekuensinya, kepatuhan terhadap perintah atasan ditanamkan sebagai nilai utama melalui pendidikan, pembinaan disiplin, dan kode etik keprajuritan. Persoalan muncul ketika kepatuhan tersebut bersinggungan dengan kewajiban prajurit sebagai warga negara untuk tunduk pada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Data yang dikutip dalam penelitian ini menunjukkan bahwa Tentara Nasional Indonesia memiliki sekitar 400.000 personel aktif (Kementerian Pertahanan Republik Indonesia, 2023), sementara pada periode 2022–2023 tercatat lebih dari 1.200 perkara pidana militer, sebagian di antaranya berkaitan dengan tindakan prajurit yang dilakukan atas dasar perintah atau dorongan atasan, baik secara tegas maupun tersirat (Oditurat Jenderal TNI, 2023). Angka tersebut memperlihatkan bahwa loyalitas komando bukan sekadar persoalan etik, melainkan variabel yang nyata dalam terjadinya pelanggaran pidana militer.</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normatif, prajurit adalah subjek hukum penuh. Pasal 1 ayat (3) Undang-Undang Dasar Negara Republik Indonesia Tahun 1945 menempatkan Indonesia sebagai negara hukum, sedangkan Pasal 65 ayat (2) Undang-Undang Nomor 34 Tahun 2004 tentang Tentara Nasional Indonesia mengatur tunduknya prajurit pada kekuasaan peradilan militer untuk pelanggaran hukum pidana militer dan pada kekuasaan peradilan umum untuk pelanggaran hukum pidana umum. Di sisi lain, Pasal 103 Kitab Undang-Undang Hukum Pidana Militer mengancam pidana bagi prajurit yang tidak menaati perintah dinas. Dua kutub norma inilah yang membentuk dilema: menolak berarti berisiko dipidana karena ketidaktaatan, melaksanakan berarti berisiko dipidana karena perbuatannya.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Persoalan tersebut tidak dapat diselesaikan hanya dengan menegaskan pentingnya disiplin. Diperlukan kejelasan mengenai di titik mana kewajiban menaati perintah berhenti dan kewajiban menaati hukum mengambil alih, serta bagaimana pertanggungjawaban pidana didistribusikan antara prajurit yang melaksanakan dan atasan yang memerintahkan. Tanpa kejelasan itu, prajurit berada dalam ketidakpastian hukum yang berdampak pada karier sekaligus integritas profesionalnya.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 mengenai hukum pidana militer telah berkembang dari berbagai sudut. Purnomo (2024) menelaah kedudukan prajurit sebagai subjek hukum dalam perspektif negara hukum. Murti (2023) membahas rekonstruksi disiplin dan kepatuhan hukum prajurit. Ma'mun (2024) menyoroti konsep jiwa korsa dan implikasinya terhadap penegakan hukum pidana militer. Syarifuddin (2023) dan Maulana (2024) mengulas kedudukan perintah atasan dalam tindak pidana militer, sedangkan Handiwibowo (2023) memfokuskan kajiannya pada pertanggungjawaban pidana prajurit yang melaksanakan perintah jabatan ilegal.</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Kajian-kajian tersebut kuat pada level doktrinal, tetapi umumnya disusun sebelum dua perkembangan penting terjadi. Pertama, Undang-Undang Nomor 1 Tahun 2023 tentang Kitab Undang-Undang Hukum Pidana mulai berlaku pada 2 Januari 2026 dan memindahkan pengaturan perintah jabatan dari satu pasal berayat dua menjadi dua pasal yang terpisah secara dogmatis. Kedua, Undang-Undang Nomor 3 Tahun 2025 mengubah Undang-Undang Nomor 34 Tahun 2004 tanpa menyentuh ketentuan yurisdiksi peradilan, sehingga persoalan kelembagaan yang menopang penegakan batas kepatuhan tetap terbuka. Belum banyak kajian yang membaca kedua perkembangan itu secara bersamaan sebagai satu persoalan yuridis.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Berbeda dengan penelitian sebelumnya yang berfokus pada aspek disiplin militer atau pada satu doktrin tertentu secara terpisah, penelitian ini menitikberatkan analisisnya pada dua hal, yaitu konstruksi batas kepatuhan prajurit sebagai norma yang berlapis dari konstitusi hingga kode etik keprajuritan, dan pola distribusi pertanggungjawaban pidana antara bawahan dan atasan, keduanya dibaca dalam kerangka hukum yang berlaku setelah pembaruan tersebut.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uraian tersebut, penelitian ini bertujuan, pertama, menganalisis pengaturan hukum mengenai batas kepatuhan prajurit Tentara Nasional Indonesia terhadap perintah atasan dalam kaitannya dengan tindak pidana militer; dan kedua, menganalisis pertanggungjawaban pidana prajurit ketika suatu tindak pidana dilakukan atas dasar perintah atau pengaruh komando.</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teoretis, penelitian ini memperkaya kajian hukum pidana militer dengan menempatkan hubungan komando sebagai hubungan hukum yang mendistribusikan pertanggungjawaban, bukan sebagai mekanisme pengalihannya. Secara praktis, temuan penelitian dapat menjadi bahan pertimbangan bagi pembentuk undang-undang dalam pembaruan hukum peradilan militer, bagi institusi Tentara Nasional Indonesia dalam penguatan pendidikan hukum prajurit, serta bagi aparat penegak hukum militer dalam menilai perkara yang melibatkan perintah atasan.</w:t>
      </w:r>
    </w:p>
    <w:p>
      <w:pPr>
        <w:pStyle w:val="Heading3"/>
        <w:ind w:firstLine="66"/>
      </w:pPr>
      <w:r>
        <w:t xml:space="preserve">METODOLOGI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menguraikan cara penelitian dilakukan sehingga proses penarikan kesimpulan dapat ditelusuri dan diuji ulang. Karena penelitian ini berbentuk legal memorandum atas persoalan normatif, uraian metodologis difokuskan pada cara bahan hukum dipilih, diverifikasi, dan diolah menjadi argumentasi yuridis.</w:t>
      </w:r>
    </w:p>
    <w:p>
      <w:pPr>
        <w:pStyle w:val="Heading2"/>
        <w:ind w:right="322"/>
        <w:rPr>
          <w:rStyle w:val="mediumtext"/>
        </w:rPr>
      </w:pPr>
      <w:r>
        <w:rPr>
          <w:rStyle w:val="mediumtext"/>
        </w:rPr>
        <w:t xml:space="preserve">2.1 Jenis dan Pendekatan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ini merupakan penelitian hukum normatif yang disusun dalam format legal memorandum, yaitu kajian yang berfokus pada sinkronisasi norma antara kewajiban ketaatan hierarkis prajurit dan prinsip supremasi hukum guna mewujudkan kepastian hukum bagi prajurit yang berhadapan dengan dilema perintah jabatan. Pendekatan yang digunakan bersifat gabungan. Pertama, pendekatan perundang-undangan (</w:t>
      </w:r>
      <w:r>
        <w:rPr>
          <w:rStyle w:val="longtext"/>
          <w:rFonts w:ascii="Segoe UI" w:hAnsi="Segoe UI" w:cs="Segoe UI"/>
          <w:i/>
          <w:iCs/>
          <w:sz w:val="22"/>
          <w:szCs w:val="22"/>
          <w:shd w:val="clear" w:color="auto" w:fill="FFFFFF"/>
          <w:lang w:val="id"/>
        </w:rPr>
        <w:t xml:space="preserve">statute approach</w:t>
      </w:r>
      <w:r>
        <w:rPr>
          <w:rStyle w:val="longtext"/>
          <w:rFonts w:ascii="Segoe UI" w:hAnsi="Segoe UI" w:cs="Segoe UI"/>
          <w:sz w:val="22"/>
          <w:szCs w:val="22"/>
          <w:shd w:val="clear" w:color="auto" w:fill="FFFFFF"/>
          <w:lang w:val="id"/>
        </w:rPr>
        <w:t xml:space="preserve">) untuk menelaah keterkaitan vertikal dan horizontal antara konstitusi, undang-undang, serta ketentuan hukum pidana militer. Kedua, pendekatan konseptual (</w:t>
      </w:r>
      <w:r>
        <w:rPr>
          <w:rStyle w:val="longtext"/>
          <w:rFonts w:ascii="Segoe UI" w:hAnsi="Segoe UI" w:cs="Segoe UI"/>
          <w:i/>
          <w:iCs/>
          <w:sz w:val="22"/>
          <w:szCs w:val="22"/>
          <w:shd w:val="clear" w:color="auto" w:fill="FFFFFF"/>
          <w:lang w:val="id"/>
        </w:rPr>
        <w:t xml:space="preserve">conceptual approach</w:t>
      </w:r>
      <w:r>
        <w:rPr>
          <w:rStyle w:val="longtext"/>
          <w:rFonts w:ascii="Segoe UI" w:hAnsi="Segoe UI" w:cs="Segoe UI"/>
          <w:sz w:val="22"/>
          <w:szCs w:val="22"/>
          <w:shd w:val="clear" w:color="auto" w:fill="FFFFFF"/>
          <w:lang w:val="id"/>
        </w:rPr>
        <w:t xml:space="preserve">) untuk mendudukkan konsep perintah jabatan, kepatuhan bersyarat, pertanggungjawaban pidana individual, dan tanggung jawab komando sebagai pisau analisis. Ketiga, pendekatan perbandingan (</w:t>
      </w:r>
      <w:r>
        <w:rPr>
          <w:rStyle w:val="longtext"/>
          <w:rFonts w:ascii="Segoe UI" w:hAnsi="Segoe UI" w:cs="Segoe UI"/>
          <w:i/>
          <w:iCs/>
          <w:sz w:val="22"/>
          <w:szCs w:val="22"/>
          <w:shd w:val="clear" w:color="auto" w:fill="FFFFFF"/>
          <w:lang w:val="id"/>
        </w:rPr>
        <w:t xml:space="preserve">comparative approach</w:t>
      </w:r>
      <w:r>
        <w:rPr>
          <w:rStyle w:val="longtext"/>
          <w:rFonts w:ascii="Segoe UI" w:hAnsi="Segoe UI" w:cs="Segoe UI"/>
          <w:sz w:val="22"/>
          <w:szCs w:val="22"/>
          <w:shd w:val="clear" w:color="auto" w:fill="FFFFFF"/>
          <w:lang w:val="id"/>
        </w:rPr>
        <w:t xml:space="preserve">) secara terbatas terhadap prinsip hukum pidana internasional mengenai </w:t>
      </w:r>
      <w:r>
        <w:rPr>
          <w:rStyle w:val="longtext"/>
          <w:rFonts w:ascii="Segoe UI" w:hAnsi="Segoe UI" w:cs="Segoe UI"/>
          <w:i/>
          <w:iCs/>
          <w:sz w:val="22"/>
          <w:szCs w:val="22"/>
          <w:shd w:val="clear" w:color="auto" w:fill="FFFFFF"/>
          <w:lang w:val="id"/>
        </w:rPr>
        <w:t xml:space="preserve">superior orders</w:t>
      </w:r>
      <w:r>
        <w:rPr>
          <w:rStyle w:val="longtext"/>
          <w:rFonts w:ascii="Segoe UI" w:hAnsi="Segoe UI" w:cs="Segoe UI"/>
          <w:sz w:val="22"/>
          <w:szCs w:val="22"/>
          <w:shd w:val="clear" w:color="auto" w:fill="FFFFFF"/>
          <w:lang w:val="id"/>
        </w:rPr>
        <w:t xml:space="preserve">, sepanjang relevan untuk menguji konsistensi hukum nasional. Penelitian ini tidak menggunakan pendekatan kuantitatif karena permasalahannya bersifat normatif-kualitatif.</w:t>
      </w:r>
    </w:p>
    <w:p>
      <w:pPr>
        <w:pStyle w:val="Heading2"/>
        <w:ind w:right="322"/>
        <w:rPr>
          <w:rStyle w:val="mediumtext"/>
        </w:rPr>
      </w:pPr>
      <w:r>
        <w:rPr>
          <w:rStyle w:val="mediumtext"/>
        </w:rPr>
        <w:t xml:space="preserve">2.2 Objek dan Unit Analisis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Objek penelitian adalah norma hukum yang mengatur batas kewajiban ketaatan prajurit terhadap perintah atasan dan norma yang menentukan pertanggungjawaban pidana atas perbuatan yang dilakukan berdasarkan perintah tersebut. Unit analisis dibatasi pada dua hal, yaitu konstruksi normatif batas kepatuhan sebagaimana terbaca dari hierarki peraturan perundang-undangan beserta kode etik keprajuritan, dan pola pembagian pertanggungjawaban pidana antara prajurit pelaksana dan atasan pemberi perintah. Pembatasan tersebut dipilih karena kedua unit itulah yang secara langsung menjawab rumusan masalah, sedangkan aspek hukum disiplin militer dan hukum administrasi keprajuritan hanya disinggung sepanjang diperlukan untuk memahami tekanan struktural yang dihadapi prajurit. Penelitian ini tidak menguji perkara konkret tertentu, sehingga kesimpulannya bersifat normatif dan tidak dimaksudkan sebagai penilaian atas putusan pengadilan militer mana pun.</w:t>
      </w:r>
    </w:p>
    <w:p>
      <w:pPr>
        <w:pStyle w:val="Heading2"/>
        <w:ind w:right="322"/>
        <w:rPr>
          <w:rStyle w:val="mediumtext"/>
        </w:rPr>
      </w:pPr>
      <w:r>
        <w:rPr>
          <w:rStyle w:val="mediumtext"/>
        </w:rPr>
        <w:t xml:space="preserve">2.3 Sumber Bahan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Bahan hukum primer meliputi Undang-Undang Dasar Negara Republik Indonesia Tahun 1945, Ketetapan Majelis Permusyawaratan Rakyat Nomor VII/MPR/2000, Kitab Undang-Undang Hukum Pidana, Undang-Undang Nomor 39 Tahun 1947 tentang Kitab Undang-Undang Hukum Pidana Militer, Undang-Undang Nomor 31 Tahun 1997 tentang Peradilan Militer, Undang-Undang Nomor 34 Tahun 2004 tentang Tentara Nasional Indonesia sebagaimana telah diubah dengan Undang-Undang Nomor 3 Tahun 2025, serta Undang-Undang Nomor 1 Tahun 2023 tentang Kitab Undang-Undang Hukum Pidana. Sebagai pembanding digunakan Piagam Mahkamah Militer Internasional Nuremberg dan Pasal 33 Statuta Roma. Bahan hukum sekunder terdiri atas buku, artikel jurnal ilmiah, dan dokumen resmi institusi, termasuk Buku Saku Sapta Marga, Sumpah Prajurit, dan Delapan Wajib Tentara Nasional Indonesia. Bahan hukum tersier berupa kamus hukum digunakan sebatas untuk menjernihkan peristilahan asing seperti </w:t>
      </w:r>
      <w:r>
        <w:rPr>
          <w:rStyle w:val="longtext"/>
          <w:rFonts w:ascii="Segoe UI" w:hAnsi="Segoe UI" w:cs="Segoe UI"/>
          <w:i/>
          <w:iCs/>
          <w:sz w:val="22"/>
          <w:szCs w:val="22"/>
          <w:shd w:val="clear" w:color="auto" w:fill="FFFFFF"/>
          <w:lang w:val="id"/>
        </w:rPr>
        <w:t xml:space="preserve">ambtelijk bevel</w:t>
      </w:r>
      <w:r>
        <w:rPr>
          <w:rStyle w:val="longtext"/>
          <w:rFonts w:ascii="Segoe UI" w:hAnsi="Segoe UI" w:cs="Segoe UI"/>
          <w:sz w:val="22"/>
          <w:szCs w:val="22"/>
          <w:shd w:val="clear" w:color="auto" w:fill="FFFFFF"/>
          <w:lang w:val="id"/>
        </w:rPr>
        <w:t xml:space="preserve">, </w:t>
      </w:r>
      <w:r>
        <w:rPr>
          <w:rStyle w:val="longtext"/>
          <w:rFonts w:ascii="Segoe UI" w:hAnsi="Segoe UI" w:cs="Segoe UI"/>
          <w:i/>
          <w:iCs/>
          <w:sz w:val="22"/>
          <w:szCs w:val="22"/>
          <w:shd w:val="clear" w:color="auto" w:fill="FFFFFF"/>
          <w:lang w:val="id"/>
        </w:rPr>
        <w:t xml:space="preserve">rechtvaardigingsgrond</w:t>
      </w:r>
      <w:r>
        <w:rPr>
          <w:rStyle w:val="longtext"/>
          <w:rFonts w:ascii="Segoe UI" w:hAnsi="Segoe UI" w:cs="Segoe UI"/>
          <w:sz w:val="22"/>
          <w:szCs w:val="22"/>
          <w:shd w:val="clear" w:color="auto" w:fill="FFFFFF"/>
          <w:lang w:val="id"/>
        </w:rPr>
        <w:t xml:space="preserve">, dan </w:t>
      </w:r>
      <w:r>
        <w:rPr>
          <w:rStyle w:val="longtext"/>
          <w:rFonts w:ascii="Segoe UI" w:hAnsi="Segoe UI" w:cs="Segoe UI"/>
          <w:i/>
          <w:iCs/>
          <w:sz w:val="22"/>
          <w:szCs w:val="22"/>
          <w:shd w:val="clear" w:color="auto" w:fill="FFFFFF"/>
          <w:lang w:val="id"/>
        </w:rPr>
        <w:t xml:space="preserve">schulduitsluitingsgrond</w:t>
      </w:r>
      <w:r>
        <w:rPr>
          <w:rStyle w:val="longtext"/>
          <w:rFonts w:ascii="Segoe UI" w:hAnsi="Segoe UI" w:cs="Segoe UI"/>
          <w:sz w:val="22"/>
          <w:szCs w:val="22"/>
          <w:shd w:val="clear" w:color="auto" w:fill="FFFFFF"/>
          <w:lang w:val="id"/>
        </w:rPr>
        <w:t xml:space="preserve">. Sumber yang berupa laporan institusi digunakan secara terbatas sebagai penunjuk konteks empiris dan tidak dijadikan dasar penarikan kesimpulan normatif, mengingat penelitian ini tidak melakukan verifikasi lapangan atas angka yang dimuat di dalamnya.</w:t>
      </w:r>
    </w:p>
    <w:p>
      <w:pPr>
        <w:pStyle w:val="Heading2"/>
        <w:ind w:right="322"/>
        <w:rPr>
          <w:rStyle w:val="mediumtext"/>
        </w:rPr>
      </w:pPr>
      <w:r>
        <w:rPr>
          <w:rStyle w:val="mediumtext"/>
        </w:rPr>
        <w:t xml:space="preserve">2.4 Teknik Pengumpulan Bahan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Pengumpulan bahan hukum dilakukan melalui penelitian kepustakaan (</w:t>
      </w:r>
      <w:r>
        <w:rPr>
          <w:rStyle w:val="longtext"/>
          <w:rFonts w:ascii="Segoe UI" w:hAnsi="Segoe UI" w:cs="Segoe UI"/>
          <w:i/>
          <w:iCs/>
          <w:sz w:val="22"/>
          <w:szCs w:val="22"/>
          <w:shd w:val="clear" w:color="auto" w:fill="FFFFFF"/>
          <w:lang w:val="id"/>
        </w:rPr>
        <w:t xml:space="preserve">library research</w:t>
      </w:r>
      <w:r>
        <w:rPr>
          <w:rStyle w:val="longtext"/>
          <w:rFonts w:ascii="Segoe UI" w:hAnsi="Segoe UI" w:cs="Segoe UI"/>
          <w:sz w:val="22"/>
          <w:szCs w:val="22"/>
          <w:shd w:val="clear" w:color="auto" w:fill="FFFFFF"/>
          <w:lang w:val="id"/>
        </w:rPr>
        <w:t xml:space="preserve">), yaitu penelusuran sistematis atas peraturan perundang-undangan, dokumen resmi, literatur, dan artikel jurnal yang berkaitan dengan batas ketaatan hierarkis prajurit. Penelusuran diprioritaskan pada sumber resmi, yaitu naskah peraturan perundang-undangan, dokumen lembaga negara, dan instrumen hukum internasional, kemudian dilengkapi dengan literatur akademik. Setiap nomor pasal dan rumusan norma yang dikutip diperiksa ulang terhadap naskah aslinya, sedangkan data statistik yang bersumber dari laporan institusi digunakan sebagaimana dinyatakan dalam dokumen sumbernya.</w:t>
      </w:r>
    </w:p>
    <w:p>
      <w:pPr>
        <w:pStyle w:val="Heading2"/>
        <w:ind w:right="322"/>
        <w:rPr>
          <w:rStyle w:val="mediumtext"/>
        </w:rPr>
      </w:pPr>
      <w:r>
        <w:rPr>
          <w:rStyle w:val="mediumtext"/>
        </w:rPr>
        <w:t xml:space="preserve">2.5 Teknik Analisis Bahan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Bahan hukum dianalisis secara deskriptif-kualitatif melalui tiga tahap yang berurutan. Tahap pertama adalah inventarisasi normatif, yaitu memetakan seluruh norma yang mengatur kewajiban ketaatan prajurit beserta pembatasnya. Tahap kedua adalah sinkronisasi, yaitu menguji keselarasan norma secara vertikal terhadap konstitusi dan secara horizontal antar undang-undang, sekaligus menguji konsistensinya dengan prinsip hukum pidana internasional. Tahap ketiga adalah interpretasi dan konstruksi hukum, yaitu merumuskan pola pertanggungjawaban pidana yang paling koheren dengan teori supremasi hukum, teori pertanggungjawaban pidana, dan teori relasi kuasa serta otoritas.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Penarikan kesimpulan dilakukan secara deduktif, bergerak dari asas dan norma umum menuju rumusan yang lebih operasional. Keterbatasan penelitian dikemukakan secara terbuka: karena penelitian ini bersifat normatif dan tidak menggunakan data lapangan, temuannya menjelaskan bagaimana hukum seharusnya dibaca dan diterapkan, bukan mengukur seberapa jauh norma tersebut telah dipatuhi dalam praktik satuan. Untuk menjaga akuntabilitas penalaran, setiap kesimpulan dalam penelitian ini ditelusurkan kembali pada norma atau doktrin yang menjadi dasarnya, sehingga pembaca dapat menguji ulang rantai argumentasi yang digunakan.</w:t>
      </w:r>
    </w:p>
    <w:p>
      <w:pPr>
        <w:pStyle w:val="Heading3"/>
        <w:ind w:firstLine="66"/>
      </w:pPr>
      <w:r>
        <w:t xml:space="preserve">HASIL DAN PEMBAHASAN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menyajikan temuan penelitian sekaligus analisisnya secara terpadu. Pembahasan disusun mengikuti dua rumusan masalah, yaitu batas kepatuhan prajurit terhadap perintah atasan dan pertanggungjawaban pidana yang timbul darinya, kemudian ditutup dengan implikasi pembaruan hukum yang sedang berlangsung.</w:t>
      </w:r>
    </w:p>
    <w:p>
      <w:pPr>
        <w:pStyle w:val="Heading2"/>
        <w:ind w:right="322"/>
        <w:rPr>
          <w:rStyle w:val="mediumtext"/>
        </w:rPr>
      </w:pPr>
      <w:r>
        <w:rPr>
          <w:rStyle w:val="mediumtext"/>
        </w:rPr>
        <w:t xml:space="preserve">3.1 Batas Kepatuhan Prajurit terhadap Perintah Atasan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Kewajiban ketaatan prajurit tidak berdiri sendiri sebagai norma tunggal, melainkan terbentuk dari lapisan norma yang saling mengunci, mulai dari konstitusi hingga kode etik keprajuritan. Pemetaan lapisan tersebut disajikan pada Tabel 1.</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1.</w:t>
      </w:r>
      <w:r>
        <w:rPr>
          <w:rFonts w:eastAsia="Constantia" w:cs="Segoe UI"/>
          <w:sz w:val="20"/>
          <w:szCs w:val="20"/>
          <w:lang w:val="id"/>
        </w:rPr>
        <w:t xml:space="preserve"> Lapisan Norma Pembatas Kewajiban Ketaatan Prajurit</w:t>
      </w:r>
    </w:p>
    <w:tbl>
      <w:tblPr>
        <w:tblW w:w="0" w:type="auto"/>
        <w:jc w:val="center"/>
        <w:tblCellMar>
          <w:top w:w="40" w:type="dxa"/>
          <w:left w:w="80" w:type="dxa"/>
          <w:bottom w:w="40" w:type="dxa"/>
          <w:right w:w="80" w:type="dxa"/>
        </w:tblCellMar>
        <w:tblLook w:val="04A0" w:firstRow="1" w:lastRow="0" w:firstColumn="1" w:lastColumn="0" w:noHBand="0" w:noVBand="1"/>
      </w:tblPr>
      <w:tblGrid>
        <w:gridCol w:w="2100"/>
        <w:gridCol w:w="2800"/>
        <w:gridCol w:w="2900"/>
      </w:tblGrid>
      <w:tr>
        <w:trPr>
          <w:cantSplit/>
          <w:tblHeader/>
          <w:jc w:val="center"/>
        </w:trPr>
        <w:tc>
          <w:tcPr>
            <w:tcW w:w="21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Sumber Norma</w:t>
            </w:r>
          </w:p>
        </w:tc>
        <w:tc>
          <w:tcPr>
            <w:tcW w:w="28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Inti Ketentuan</w:t>
            </w:r>
          </w:p>
        </w:tc>
        <w:tc>
          <w:tcPr>
            <w:tcW w:w="2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Implikasi terhadap Batas Kepatuhan</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1 ayat (3) UUD NRI Tahun 1945</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Negara Indonesia adalah negara hukum</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Seluruh kewenangan, termasuk kewenangan komando, bersumber dan tunduk pada hukum</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65 ayat (2) UU Nomor 34 Tahun 2004 jo. UU Nomor 3 Tahun 2025</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Prajurit tunduk pada peradilan militer untuk pidana militer dan pada peradilan umum untuk pidana umum</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Prajurit adalah subjek hukum penuh, bukan kelompok yang berada di luar jangkauan hukum umum</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103 KUHPM</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Ancaman pidana bagi prajurit yang tidak menaati perintah dinas</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Menciptakan tekanan struktural untuk taat, tetapi terbatas pada perintah yang bersifat kedinasan dan sah</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51 ayat (1) dan (2) KUHP</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Membedakan perintah jabatan yang sah dari perintah jabatan tanpa wewenang</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Menjadi dasar utama doktrin kepatuhan bersyarat dan penolakan terhadap ketaatan buta</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Sapta Marga dan Sumpah Prajurit</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Kesetiaan prajurit pada Pancasila dan Undang-Undang Dasar Negara Republik Indonesia Tahun 1945</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Menegaskan bahwa loyalitas tertinggi prajurit tertuju pada hukum dan konstitusi, bukan pada pribadi atasan</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peraturan perundang-undangan dan kode etik keprajuritan yang berlaku</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1 memperlihatkan pola yang konsisten. Setiap norma yang mewajibkan ketaatan selalu disertai pembatas berupa legalitas. Pasal 103 Kitab Undang-Undang Hukum Pidana Militer memang mengancam pidana bagi prajurit yang tidak menaati perintah dinas, tetapi rumusan perintah dinas itu sendiri mengandaikan perintah yang diberikan dalam rangka kedinasan dan dalam batas kewenangan. Berdasarkan konstruksi hukum tersebut, penulis berpendapat bahwa perintah yang substansinya melawan hukum tidak memenuhi kualifikasi perintah dinas, sehingga penolakan terhadapnya bukan merupakan ketidaktaatan dalam pengertian pasal tersebut.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Argumentasi itu diperkuat oleh Pasal 51 ayat (2) Kitab Undang-Undang Hukum Pidana. Ketentuan yang mengatur perintah jabatan tanpa wewenang tidak akan memiliki makna apa pun apabila hukum menganut ketaatan mutlak, karena dalam ketaatan mutlak setiap perintah selalu menghapuskan pidana. Keberadaan pembedaan antara perintah jabatan yang sah dan yang tidak sah justru menunjukkan bahwa hukum Indonesia menganut kepatuhan bersyarat (</w:t>
      </w:r>
      <w:r>
        <w:rPr>
          <w:rStyle w:val="longtext"/>
          <w:rFonts w:ascii="Segoe UI" w:hAnsi="Segoe UI" w:cs="Segoe UI"/>
          <w:i/>
          <w:iCs/>
          <w:sz w:val="22"/>
          <w:szCs w:val="22"/>
          <w:shd w:val="clear" w:color="auto" w:fill="FFFFFF"/>
          <w:lang w:val="id"/>
        </w:rPr>
        <w:t xml:space="preserve">conditional obedience</w:t>
      </w:r>
      <w:r>
        <w:rPr>
          <w:rStyle w:val="longtext"/>
          <w:rFonts w:ascii="Segoe UI" w:hAnsi="Segoe UI" w:cs="Segoe UI"/>
          <w:sz w:val="22"/>
          <w:szCs w:val="22"/>
          <w:shd w:val="clear" w:color="auto" w:fill="FFFFFF"/>
          <w:lang w:val="id"/>
        </w:rPr>
        <w:t xml:space="preserve">) dan menolak ketaatan buta (</w:t>
      </w:r>
      <w:r>
        <w:rPr>
          <w:rStyle w:val="longtext"/>
          <w:rFonts w:ascii="Segoe UI" w:hAnsi="Segoe UI" w:cs="Segoe UI"/>
          <w:i/>
          <w:iCs/>
          <w:sz w:val="22"/>
          <w:szCs w:val="22"/>
          <w:shd w:val="clear" w:color="auto" w:fill="FFFFFF"/>
          <w:lang w:val="id"/>
        </w:rPr>
        <w:t xml:space="preserve">blind obedience</w:t>
      </w:r>
      <w:r>
        <w:rPr>
          <w:rStyle w:val="longtext"/>
          <w:rFonts w:ascii="Segoe UI" w:hAnsi="Segoe UI" w:cs="Segoe UI"/>
          <w:sz w:val="22"/>
          <w:szCs w:val="22"/>
          <w:shd w:val="clear" w:color="auto" w:fill="FFFFFF"/>
          <w:lang w:val="id"/>
        </w:rPr>
        <w:t xml:space="preserve">). Hiariej (2016) menegaskan bahwa dalam hukum pidana modern setiap individu tetap memikul kewajiban menilai legalitas perintah yang diterimanya, sehingga hubungan subordinasi tidak menghapuskan kemampuan membedakan perbuatan yang sah dari yang melanggar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etik, kesimpulan yang sama diperoleh dari Sapta Marga dan Sumpah Prajurit. Marga kedua Sapta Marga menempatkan prajurit sebagai patriot yang menjunjung tinggi kehormatan bangsa, sedangkan Sumpah Prajurit memuat kesetiaan pada Pancasila dan Undang-Undang Dasar Negara Republik Indonesia Tahun 1945 (Markas Besar Tentara Nasional Indonesia, 2019). Jika dikaitkan dengan teori relasi kuasa dan otoritas, hal tersebut menunjukkan bahwa otoritas komando bersifat derivatif: kewenangan atasan berasal dari hukum, sehingga tidak mungkin melampaui sumber yang melahirkannya.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Meskipun demikian, terdapat kesenjangan yang perlu dikemukakan secara jujur. Hukum positif telah menyediakan batas substantif, tetapi belum menyediakan prosedur yang memadai bagi prajurit untuk menyatakan keberatan atau menolak perintah yang dinilai melawan hukum, berikut perlindungan terhadap konsekuensi karier yang menyertainya. Ketiadaan prosedur inilah yang membuat dilema tetap dirasakan di lapangan meskipun secara normatif jawabannya sudah jelas.</w:t>
      </w:r>
    </w:p>
    <w:p>
      <w:pPr>
        <w:pStyle w:val="Heading2"/>
        <w:ind w:right="322"/>
        <w:rPr>
          <w:rStyle w:val="mediumtext"/>
        </w:rPr>
      </w:pPr>
      <w:r>
        <w:rPr>
          <w:rStyle w:val="mediumtext"/>
        </w:rPr>
        <w:t xml:space="preserve">3.2 Pertanggungjawaban Pidana Prajurit dan Atasan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Pertanggungjawaban pidana dalam sistem hukum Indonesia bertumpu pada asas tiada pidana tanpa kesalahan (</w:t>
      </w:r>
      <w:r>
        <w:rPr>
          <w:rStyle w:val="longtext"/>
          <w:rFonts w:ascii="Segoe UI" w:hAnsi="Segoe UI" w:cs="Segoe UI"/>
          <w:i/>
          <w:iCs/>
          <w:sz w:val="22"/>
          <w:szCs w:val="22"/>
          <w:shd w:val="clear" w:color="auto" w:fill="FFFFFF"/>
          <w:lang w:val="id"/>
        </w:rPr>
        <w:t xml:space="preserve">geen straf zonder schuld</w:t>
      </w:r>
      <w:r>
        <w:rPr>
          <w:rStyle w:val="longtext"/>
          <w:rFonts w:ascii="Segoe UI" w:hAnsi="Segoe UI" w:cs="Segoe UI"/>
          <w:sz w:val="22"/>
          <w:szCs w:val="22"/>
          <w:shd w:val="clear" w:color="auto" w:fill="FFFFFF"/>
          <w:lang w:val="id"/>
        </w:rPr>
        <w:t xml:space="preserve">) dan bersifat individual. Perintah atasan tidak menghapuskan asas tersebut, melainkan hanya dapat memengaruhinya melalui dua pintu yang berbeda secara dogmatis. Pasal 51 ayat (1) Kitab Undang-Undang Hukum Pidana merupakan alasan pembenar (</w:t>
      </w:r>
      <w:r>
        <w:rPr>
          <w:rStyle w:val="longtext"/>
          <w:rFonts w:ascii="Segoe UI" w:hAnsi="Segoe UI" w:cs="Segoe UI"/>
          <w:i/>
          <w:iCs/>
          <w:sz w:val="22"/>
          <w:szCs w:val="22"/>
          <w:shd w:val="clear" w:color="auto" w:fill="FFFFFF"/>
          <w:lang w:val="id"/>
        </w:rPr>
        <w:t xml:space="preserve">rechtvaardigingsgrond</w:t>
      </w:r>
      <w:r>
        <w:rPr>
          <w:rStyle w:val="longtext"/>
          <w:rFonts w:ascii="Segoe UI" w:hAnsi="Segoe UI" w:cs="Segoe UI"/>
          <w:sz w:val="22"/>
          <w:szCs w:val="22"/>
          <w:shd w:val="clear" w:color="auto" w:fill="FFFFFF"/>
          <w:lang w:val="id"/>
        </w:rPr>
        <w:t xml:space="preserve">) yang menghapuskan sifat melawan hukum perbuatan, sedangkan Pasal 51 ayat (2) merupakan alasan pemaaf (</w:t>
      </w:r>
      <w:r>
        <w:rPr>
          <w:rStyle w:val="longtext"/>
          <w:rFonts w:ascii="Segoe UI" w:hAnsi="Segoe UI" w:cs="Segoe UI"/>
          <w:i/>
          <w:iCs/>
          <w:sz w:val="22"/>
          <w:szCs w:val="22"/>
          <w:shd w:val="clear" w:color="auto" w:fill="FFFFFF"/>
          <w:lang w:val="id"/>
        </w:rPr>
        <w:t xml:space="preserve">schulduitsluitingsgrond</w:t>
      </w:r>
      <w:r>
        <w:rPr>
          <w:rStyle w:val="longtext"/>
          <w:rFonts w:ascii="Segoe UI" w:hAnsi="Segoe UI" w:cs="Segoe UI"/>
          <w:sz w:val="22"/>
          <w:szCs w:val="22"/>
          <w:shd w:val="clear" w:color="auto" w:fill="FFFFFF"/>
          <w:lang w:val="id"/>
        </w:rPr>
        <w:t xml:space="preserve">) yang menghapuskan kesalahan pelaku sepanjang ia dengan iktikad baik mengira perintah diberikan dengan wewenang dan pelaksanaannya termasuk dalam lingkup pekerjaannya (Kanter &amp; Sianturi, 2012).</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Batas dari pintu kedua tersebut adalah doktrin perintah yang nyata-nyata melawan hukum (</w:t>
      </w:r>
      <w:r>
        <w:rPr>
          <w:rStyle w:val="longtext"/>
          <w:rFonts w:ascii="Segoe UI" w:hAnsi="Segoe UI" w:cs="Segoe UI"/>
          <w:i/>
          <w:iCs/>
          <w:sz w:val="22"/>
          <w:szCs w:val="22"/>
          <w:shd w:val="clear" w:color="auto" w:fill="FFFFFF"/>
          <w:lang w:val="id"/>
        </w:rPr>
        <w:t xml:space="preserve">manifestly unlawful order</w:t>
      </w:r>
      <w:r>
        <w:rPr>
          <w:rStyle w:val="longtext"/>
          <w:rFonts w:ascii="Segoe UI" w:hAnsi="Segoe UI" w:cs="Segoe UI"/>
          <w:sz w:val="22"/>
          <w:szCs w:val="22"/>
          <w:shd w:val="clear" w:color="auto" w:fill="FFFFFF"/>
          <w:lang w:val="id"/>
        </w:rPr>
        <w:t xml:space="preserve">). Piagam Mahkamah Militer Internasional Nuremberg menegaskan bahwa tindakan berdasarkan perintah pemerintah atau atasan tidak membebaskan seseorang dari pertanggungjawaban, dan prinsip itu ditegaskan kembali dalam Pasal 33 Statuta Roma yang membatasi pembelaan berdasarkan perintah atasan pada tiga syarat kumulatif serta menyatakan bahwa perintah melakukan genosida dan kejahatan terhadap kemanusiaan selalu dianggap nyata-nyata melawan hukum (Werle, 2014; Schabas, 2016). Konsekuensinya, terhadap perintah semacam itu dalih iktikad baik tidak dapat diterima karena sifat melawan hukumnya dapat dikenali oleh setiap orang dengan kemampuan berpikir normal.</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Konvergensi antara prinsip hukum pidana internasional dan hukum nasional tersebut disajikan pada Tabel 2.</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2.</w:t>
      </w:r>
      <w:r>
        <w:rPr>
          <w:rFonts w:eastAsia="Constantia" w:cs="Segoe UI"/>
          <w:sz w:val="20"/>
          <w:szCs w:val="20"/>
          <w:lang w:val="id"/>
        </w:rPr>
        <w:t xml:space="preserve"> Konvergensi Prinsip Hukum Pidana Internasional dan Hukum Nasional</w:t>
      </w:r>
    </w:p>
    <w:tbl>
      <w:tblPr>
        <w:tblW w:w="0" w:type="auto"/>
        <w:jc w:val="center"/>
        <w:tblCellMar>
          <w:top w:w="40" w:type="dxa"/>
          <w:left w:w="80" w:type="dxa"/>
          <w:bottom w:w="40" w:type="dxa"/>
          <w:right w:w="80" w:type="dxa"/>
        </w:tblCellMar>
        <w:tblLook w:val="04A0" w:firstRow="1" w:lastRow="0" w:firstColumn="1" w:lastColumn="0" w:noHBand="0" w:noVBand="1"/>
      </w:tblPr>
      <w:tblGrid>
        <w:gridCol w:w="3300"/>
        <w:gridCol w:w="4500"/>
      </w:tblGrid>
      <w:tr>
        <w:trPr>
          <w:cantSplit/>
          <w:tblHeader/>
          <w:jc w:val="center"/>
        </w:trPr>
        <w:tc>
          <w:tcPr>
            <w:tcW w:w="33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Prinsip Hukum Pidana Internasional</w:t>
            </w:r>
          </w:p>
        </w:tc>
        <w:tc>
          <w:tcPr>
            <w:tcW w:w="45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Padanan dalam Sistem Hukum Indonesia</w:t>
            </w:r>
          </w:p>
        </w:tc>
      </w:tr>
      <w:tr>
        <w:trPr>
          <w:cantSplit/>
          <w:jc w:val="center"/>
        </w:trPr>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*Rule of law*</w:t>
            </w:r>
          </w:p>
        </w:tc>
        <w:tc>
          <w:tcPr>
            <w:tcW w:w="45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1 ayat (3) UUD NRI Tahun 1945</w:t>
            </w:r>
          </w:p>
        </w:tc>
      </w:tr>
      <w:tr>
        <w:trPr>
          <w:cantSplit/>
          <w:jc w:val="center"/>
        </w:trPr>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*Individual criminal responsibility*</w:t>
            </w:r>
          </w:p>
        </w:tc>
        <w:tc>
          <w:tcPr>
            <w:tcW w:w="45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Asas tiada pidana tanpa kesalahan dalam KUHP dan KUHPM</w:t>
            </w:r>
          </w:p>
        </w:tc>
      </w:tr>
      <w:tr>
        <w:trPr>
          <w:cantSplit/>
          <w:jc w:val="center"/>
        </w:trPr>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*Superior orders doctrine*</w:t>
            </w:r>
          </w:p>
        </w:tc>
        <w:tc>
          <w:tcPr>
            <w:tcW w:w="45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51 KUHP; Pasal 32 dan Pasal 44 UU Nomor 1 Tahun 2023</w:t>
            </w:r>
          </w:p>
        </w:tc>
      </w:tr>
      <w:tr>
        <w:trPr>
          <w:cantSplit/>
          <w:jc w:val="center"/>
        </w:trPr>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*Manifestly unlawful order*</w:t>
            </w:r>
          </w:p>
        </w:tc>
        <w:tc>
          <w:tcPr>
            <w:tcW w:w="45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Asas legalitas dan jaminan hak asasi manusia dalam konstitusi</w:t>
            </w:r>
          </w:p>
        </w:tc>
      </w:tr>
      <w:tr>
        <w:trPr>
          <w:cantSplit/>
          <w:jc w:val="center"/>
        </w:trPr>
        <w:tc>
          <w:tcPr>
            <w:tcW w:w="33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*Command responsibility*</w:t>
            </w:r>
          </w:p>
        </w:tc>
        <w:tc>
          <w:tcPr>
            <w:tcW w:w="45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Konstruksi penyertaan dan pertanggungjawaban atasan dalam hukum pidana militer</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Statuta Roma, Piagam Mahkamah Militer Internasional Nuremberg, dan peraturan perundang-undangan nasional</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2 memperlihatkan bahwa tidak terdapat pertentangan mendasar antara kedua sistem, dan keduanya sama-sama memperlihatkan pergeseran paradigma dari ketaatan kepada otoritas menuju ketaatan kepada hukum: kesetiaan utama prajurit tidak tertuju pada pribadi atasan melainkan pada norma yang memberi atasan itu kewenangan.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Sisi lain dari konstruksi ini adalah tanggung jawab komando (</w:t>
      </w:r>
      <w:r>
        <w:rPr>
          <w:rStyle w:val="longtext"/>
          <w:rFonts w:ascii="Segoe UI" w:hAnsi="Segoe UI" w:cs="Segoe UI"/>
          <w:i/>
          <w:iCs/>
          <w:sz w:val="22"/>
          <w:szCs w:val="22"/>
          <w:shd w:val="clear" w:color="auto" w:fill="FFFFFF"/>
          <w:lang w:val="id"/>
        </w:rPr>
        <w:t xml:space="preserve">command responsibility</w:t>
      </w:r>
      <w:r>
        <w:rPr>
          <w:rStyle w:val="longtext"/>
          <w:rFonts w:ascii="Segoe UI" w:hAnsi="Segoe UI" w:cs="Segoe UI"/>
          <w:sz w:val="22"/>
          <w:szCs w:val="22"/>
          <w:shd w:val="clear" w:color="auto" w:fill="FFFFFF"/>
          <w:lang w:val="id"/>
        </w:rPr>
        <w:t xml:space="preserve">). Semakin besar kewenangan yang melekat pada seorang atasan, semakin besar pula tanggung jawab hukum yang dipikulnya. Atasan dapat dimintai pertanggungjawaban pidana apabila memerintahkan terjadinya tindak pidana, membiarkannya terjadi, atau gagal mencegah dan menghentikannya padahal memiliki kemampuan untuk itu (Werle, 2014). Menurut analisis penulis, penilaian terhadap kedua sisi tersebut dapat dilakukan melalui lima parameter, yaitu legalitas perintah, tingkat pengetahuan pelaku mengenai sifat melawan hukum perintah, tingkat pengaruh atau tekanan komando, luas kewenangan atasan, serta ada tidaknya tindakan pencegahan dan pengendalian oleh atasan.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Dari perspektif teori pertanggungjawaban pidana, kelima parameter tersebut tidak bekerja sebagai saklar yang menghidupkan atau mematikan pertanggungjawaban, melainkan sebagai penakar. Tekanan komando yang besar, misalnya, dapat mengurangi kadar kesalahan tanpa menghapuskannya. Argumentasi tersebut dapat dipahami karena hubungan komando pada hakikatnya adalah hubungan hukum yang mendistribusikan pertanggungjawaban sesuai tingkat kesalahan, kewenangan, dan keterlibatan masing-masing pihak, bukan mekanisme yang memindahkan pertanggungjawaban dari bawahan kepada atasan atau sebaliknya.</w:t>
      </w:r>
    </w:p>
    <w:p>
      <w:pPr>
        <w:pStyle w:val="Heading2"/>
        <w:ind w:right="322"/>
        <w:rPr>
          <w:rStyle w:val="mediumtext"/>
        </w:rPr>
      </w:pPr>
      <w:r>
        <w:rPr>
          <w:rStyle w:val="mediumtext"/>
        </w:rPr>
        <w:t xml:space="preserve">3.3 Implikasi Pembaruan Hukum terhadap Batas Kepatuhan Prajurit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Analisis di atas memperoleh makna yang lebih luas apabila dihubungkan dengan Undang-Undang Nomor 1 Tahun 2023 tentang Kitab Undang-Undang Hukum Pidana yang mulai berlaku pada 2 Januari 2026. Dalam kodifikasi baru tersebut, pengaturan perintah jabatan tidak lagi ditempatkan dalam satu pasal berayat dua, melainkan dipisahkan ke dalam dua pasal yang berada pada kelompok norma berbeda. Perbandingannya disajikan pada Tabel 3.</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3.</w:t>
      </w:r>
      <w:r>
        <w:rPr>
          <w:rFonts w:eastAsia="Constantia" w:cs="Segoe UI"/>
          <w:sz w:val="20"/>
          <w:szCs w:val="20"/>
          <w:lang w:val="id"/>
        </w:rPr>
        <w:t xml:space="preserve"> Reposisi Pengaturan Perintah Jabatan dalam KUHP Nasional</w:t>
      </w:r>
    </w:p>
    <w:tbl>
      <w:tblPr>
        <w:tblW w:w="0" w:type="auto"/>
        <w:jc w:val="center"/>
        <w:tblCellMar>
          <w:top w:w="40" w:type="dxa"/>
          <w:left w:w="80" w:type="dxa"/>
          <w:bottom w:w="40" w:type="dxa"/>
          <w:right w:w="80" w:type="dxa"/>
        </w:tblCellMar>
        <w:tblLook w:val="04A0" w:firstRow="1" w:lastRow="0" w:firstColumn="1" w:lastColumn="0" w:noHBand="0" w:noVBand="1"/>
      </w:tblPr>
      <w:tblGrid>
        <w:gridCol w:w="1900"/>
        <w:gridCol w:w="2900"/>
        <w:gridCol w:w="3000"/>
      </w:tblGrid>
      <w:tr>
        <w:trPr>
          <w:cantSplit/>
          <w:tblHeader/>
          <w:jc w:val="center"/>
        </w:trPr>
        <w:tc>
          <w:tcPr>
            <w:tcW w:w="1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Aspek Perbandingan</w:t>
            </w:r>
          </w:p>
        </w:tc>
        <w:tc>
          <w:tcPr>
            <w:tcW w:w="2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Pasal 51 KUHP</w:t>
            </w:r>
          </w:p>
        </w:tc>
        <w:tc>
          <w:tcPr>
            <w:tcW w:w="30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UU Nomor 1 Tahun 2023</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Perintah jabatan yang sah</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51 ayat (1): pelaksana perintah jabatan dari penguasa yang berwenang tidak dipidana</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32: setiap orang yang melakukan perbuatan yang dilarang untuk melaksanakan perintah jabatan dari pejabat yang berwenang tidak dipidana</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Perintah jabatan tanpa wewenang</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51 ayat (2): tidak menghapus pidana, kecuali dilaksanakan dengan iktikad baik dan termasuk lingkup pekerjaan</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44: dirumuskan dengan substansi yang sama dan ditempatkan pada kelompok norma yang berbeda</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Penempatan dogmatis</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Kedua ayat berada dalam satu pasal yang sama</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Dipisahkan menjadi kelompok alasan pembenar dan kelompok alasan pemaaf</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Implikasi bagi penalaran hakim</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Pembedaan lapis pembenar dan pemaaf bergantung pada doktrin</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Pembedaan lapis tersebut tampak langsung dari struktur undang-undang</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Kitab Undang-Undang Hukum Pidana dan Undang-Undang Nomor 1 Tahun 2023</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yuridis, pemisahan tersebut bukan sekadar penataan redaksional. Penempatan perintah jabatan yang sah pada kelompok alasan pembenar dan perintah jabatan tanpa wewenang pada kelompok alasan pemaaf mempertegas bahwa keduanya bekerja pada lapis yang berbeda, yaitu pada sifat melawan hukum perbuatan dan pada kesalahan pelaku. Ketegasan ini memperkuat konstruksi kepatuhan bersyarat, karena hakim militer dituntut menyatakan secara eksplisit lapis mana yang sedang dinilai ketika seorang prajurit berdalih melaksanakan perintah atasan. Perlu ditegaskan bahwa Kitab Undang-Undang Hukum Pidana Militer tetap berlaku sebagai ketentuan khusus, sehingga pembaruan tersebut memperjelas kerangka umum tanpa menghapus norma pidana militer.</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Perkembangan kedua berada pada ranah kelembagaan. Undang-Undang Nomor 3 Tahun 2025 mengubah sejumlah ketentuan Undang-Undang Nomor 34 Tahun 2004, tetapi tidak mengubah Pasal 65 maupun Pasal 74. Akibatnya, pemisahan yurisdiksi antara peradilan militer dan peradilan umum yang telah diamanatkan sejak Ketetapan Majelis Permusyawaratan Rakyat Nomor VII/MPR/2000 belum terlaksana karena masih menunggu perubahan Undang-Undang Peradilan Militer. Ketentuan tersebut kemudian diuji di Mahkamah Konstitusi, antara lain melalui Perkara Nomor 197/PUU-XXIII/2025 dan Perkara Nomor 260/PUU-XXIII/2025 (Mahkamah Konstitusi Republik Indonesia, 2026).</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Menurut analisis penulis, kedua perkembangan tersebut memperlihatkan ketimpangan antara kemajuan normatif dan kemandekan kelembagaan. Batas kepatuhan prajurit secara substantif justru semakin tegas, tetapi ketegasan norma memerlukan forum yang imparsial agar dapat bekerja. Selama perkara yang melibatkan perintah atasan diperiksa dalam forum yang seluruh unsurnya berasal dari satu institusi yang sama, penilaian atas legalitas perintah berisiko dipengaruhi oleh logika hierarki yang justru sedang diuji. Karena itu, pembaruan Undang-Undang Peradilan Militer merupakan prasyarat bagi bekerjanya prinsip kepatuhan bersyarat.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Dari temuan tersebut dapat dirumuskan dua kebutuhan pembaruan yang bersifat konkret. Pertama, Kitab Undang-Undang Hukum Pidana Militer perlu memuat klausul eksplisit yang menyatakan bahwa perintah yang nyata-nyata melawan hukum tidak melahirkan kewajiban untuk dilaksanakan, disertai prosedur penyampaian keberatan dan perlindungan bagi prajurit yang menolak. Kedua, pendidikan hukum dan hak asasi manusia bagi prajurit perlu diarahkan pada kemampuan mengenali perintah yang nyata-nyata melawan hukum, bukan sekadar pada penghafalan norma disiplin.</w:t>
      </w:r>
    </w:p>
    <w:p>
      <w:pPr>
        <w:pStyle w:val="Heading3"/>
        <w:ind w:firstLine="66"/>
      </w:pPr>
      <w:r>
        <w:t xml:space="preserve">KESIMPULAN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Pengaturan hukum mengenai batas kepatuhan prajurit Tentara Nasional Indonesia terhadap perintah atasan dalam kaitannya dengan tindak pidana militer menganut prinsip kepatuhan bersyarat (</w:t>
      </w:r>
      <w:r>
        <w:rPr>
          <w:rStyle w:val="longtext"/>
          <w:rFonts w:ascii="Segoe UI" w:hAnsi="Segoe UI" w:cs="Segoe UI"/>
          <w:i/>
          <w:iCs/>
          <w:sz w:val="22"/>
          <w:szCs w:val="22"/>
          <w:shd w:val="clear" w:color="auto" w:fill="FFFFFF"/>
          <w:lang w:val="id"/>
        </w:rPr>
        <w:t xml:space="preserve">conditional obedience</w:t>
      </w:r>
      <w:r>
        <w:rPr>
          <w:rStyle w:val="longtext"/>
          <w:rFonts w:ascii="Segoe UI" w:hAnsi="Segoe UI" w:cs="Segoe UI"/>
          <w:sz w:val="22"/>
          <w:szCs w:val="22"/>
          <w:shd w:val="clear" w:color="auto" w:fill="FFFFFF"/>
          <w:lang w:val="id"/>
        </w:rPr>
        <w:t xml:space="preserve">) dan bukan kepatuhan mutlak (</w:t>
      </w:r>
      <w:r>
        <w:rPr>
          <w:rStyle w:val="longtext"/>
          <w:rFonts w:ascii="Segoe UI" w:hAnsi="Segoe UI" w:cs="Segoe UI"/>
          <w:i/>
          <w:iCs/>
          <w:sz w:val="22"/>
          <w:szCs w:val="22"/>
          <w:shd w:val="clear" w:color="auto" w:fill="FFFFFF"/>
          <w:lang w:val="id"/>
        </w:rPr>
        <w:t xml:space="preserve">absolute obedience</w:t>
      </w:r>
      <w:r>
        <w:rPr>
          <w:rStyle w:val="longtext"/>
          <w:rFonts w:ascii="Segoe UI" w:hAnsi="Segoe UI" w:cs="Segoe UI"/>
          <w:sz w:val="22"/>
          <w:szCs w:val="22"/>
          <w:shd w:val="clear" w:color="auto" w:fill="FFFFFF"/>
          <w:lang w:val="id"/>
        </w:rPr>
        <w:t xml:space="preserve">). Kewajiban menaati perintah dibatasi oleh legalitas perintah, kewenangan pemberi perintah, dan kesesuaiannya dengan prinsip negara hukum serta hak asasi manusia sebagaimana terbaca secara berlapis dari Pasal 1 ayat (3) Undang-Undang Dasar Negara Republik Indonesia Tahun 1945, Undang-Undang Nomor 34 Tahun 2004 sebagaimana telah diubah dengan Undang-Undang Nomor 3 Tahun 2025, Kitab Undang-Undang Hukum Pidana Militer, Kitab Undang-Undang Hukum Pidana, hingga Sapta Marga dan Sumpah Prajurit. Oleh karena itu, perintah yang nyata-nyata bertentangan dengan hukum tidak menimbulkan kewajiban hukum untuk dilaksanakan dan penolakan terhadapnya tidak dapat dikualifikasi sebagai ketidaktaatan terhadap perintah dinas.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Pertanggungjawaban pidana prajurit yang melakukan tindak pidana atas dasar perintah atau pengaruh komando tetap didasarkan pada prinsip pertanggungjawaban pidana individual yang dipadukan dengan prinsip kepatuhan bersyarat dan tanggung jawab komando. Perintah atasan hanya dapat menjadi alasan pembenar apabila perintah itu sah, atau alasan pemaaf apabila diberikan tanpa wewenang tetapi dilaksanakan dengan iktikad baik dan masih dalam lingkup pekerjaan, dengan pengecualian terhadap perintah yang nyata-nyata melawan hukum. Baik bawahan maupun atasan dapat dimintai pertanggungjawaban sesuai tingkat kesalahan, kewenangan, dan keterlibatan masing-masing, sehingga hubungan komando merupakan mekanisme distribusi dan bukan pengalihan pertanggungjawaban pidana.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temuan tersebut disarankan agar pembentuk undang-undang menyelesaikan pembaruan Undang-Undang Peradilan Militer sebagai tindak lanjut Pasal 65 dan Pasal 74 Undang-Undang Tentara Nasional Indonesia yang tidak diubah pada tahun 2025, serta memasukkan ke dalam Kitab Undang-Undang Hukum Pidana Militer klausul yang secara tegas mengatur hak sekaligus kewajiban prajurit untuk menolak perintah yang nyata-nyata melawan hukum, lengkap dengan prosedur keberatan dan perlindungan kariernya. Bagi institusi Tentara Nasional Indonesia, disarankan agar pendidikan hukum, etika militer, dan hak asasi manusia diarahkan pada pembentukan kemampuan menilai legalitas perintah secara cepat dalam situasi operasional, termasuk melalui simulasi kasus dan pembekalan hukum humaniter bagi satuan yang akan melaksanakan tugas operasi.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akademik, penelitian selanjutnya disarankan menguji penerapan Pasal 32 dan Pasal 44 Undang-Undang Nomor 1 Tahun 2023 dalam putusan-putusan pengadilan militer setelah kodifikasi tersebut berjalan efektif, serta memetakan secara empiris pengalaman prajurit ketika berhadapan dengan perintah yang dinilai bermasalah, agar rekomendasi pembaruan hukum memiliki dasar yang tidak semata normatif. Kajian perbandingan dengan negara yang telah memisahkan yurisdiksi peradilan militer dari tindak pidana umum juga akan bermanfaat untuk menilai desain kelembagaan yang paling sesuai dengan sistem hukum Indonesia.</w:t>
      </w:r>
    </w:p>
    <w:p>
      <w:pPr>
        <w:pStyle w:val="IEEEHeading1"/>
        <w:numPr>
          <w:ilvl w:val="0"/>
          <w:numId w:val="0"/>
        </w:numPr>
        <w:ind w:firstLine="567"/>
        <w:jc w:val="both"/>
        <w:rPr>
          <w:rFonts w:ascii="Segoe UI" w:hAnsi="Segoe UI" w:cs="Segoe UI"/>
          <w:b/>
          <w:bCs/>
          <w:sz w:val="24"/>
          <w:lang w:val="id"/>
        </w:rPr>
      </w:pPr>
      <w:r>
        <w:rPr>
          <w:rFonts w:ascii="Segoe UI" w:hAnsi="Segoe UI" w:cs="Segoe UI"/>
          <w:b/>
          <w:bCs/>
          <w:sz w:val="24"/>
          <w:lang w:val="id"/>
        </w:rPr>
        <w:t>Referensi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Asshiddiqie, J. (2010). </w:t>
      </w:r>
      <w:r>
        <w:rPr>
          <w:rFonts w:cs="Segoe UI"/>
          <w:i/>
          <w:iCs/>
          <w:noProof/>
        </w:rPr>
        <w:t xml:space="preserve">Konstitusi dan konstitusionalisme Indonesia</w:t>
      </w:r>
      <w:r>
        <w:rPr>
          <w:rFonts w:cs="Segoe UI"/>
          <w:noProof/>
        </w:rPr>
        <w:t xml:space="preserve">. Sinar Grafika.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Atmasasmita, R. (2001). </w:t>
      </w:r>
      <w:r>
        <w:rPr>
          <w:rFonts w:cs="Segoe UI"/>
          <w:i/>
          <w:iCs/>
          <w:noProof/>
        </w:rPr>
        <w:t xml:space="preserve">Reformasi hukum, hak asasi manusia &amp; penegakan hukum</w:t>
      </w:r>
      <w:r>
        <w:rPr>
          <w:rFonts w:cs="Segoe UI"/>
          <w:noProof/>
        </w:rPr>
        <w:t xml:space="preserve">. Mandar Maju.</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Handiwibowo, S. (2023). Pertanggungjawaban pidana prajurit militer dalam pelaksanaan perintah jabatan yang ilegal. </w:t>
      </w:r>
      <w:r>
        <w:rPr>
          <w:rFonts w:cs="Segoe UI"/>
          <w:i/>
          <w:iCs/>
          <w:noProof/>
        </w:rPr>
        <w:t xml:space="preserve">Jurnal Ilmu Hukum Jure Humano</w:t>
      </w:r>
      <w:r>
        <w:rPr>
          <w:rFonts w:cs="Segoe UI"/>
          <w:noProof/>
        </w:rPr>
        <w:t xml:space="preserve">, </w:t>
      </w:r>
      <w:r>
        <w:rPr>
          <w:rFonts w:cs="Segoe UI"/>
          <w:i/>
          <w:iCs/>
          <w:noProof/>
        </w:rPr>
        <w:t xml:space="preserve">5</w:t>
      </w:r>
      <w:r>
        <w:rPr>
          <w:rFonts w:cs="Segoe UI"/>
          <w:noProof/>
        </w:rPr>
        <w:t xml:space="preserve">(2).</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Hiariej, E. O. S. (2016). </w:t>
      </w:r>
      <w:r>
        <w:rPr>
          <w:rFonts w:cs="Segoe UI"/>
          <w:i/>
          <w:iCs/>
          <w:noProof/>
        </w:rPr>
        <w:t xml:space="preserve">Prinsip-prinsip hukum pidana</w:t>
      </w:r>
      <w:r>
        <w:rPr>
          <w:rFonts w:cs="Segoe UI"/>
          <w:noProof/>
        </w:rPr>
        <w:t xml:space="preserve">. Cahaya Atma Pustaka.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Huntington, S. P. (2011). </w:t>
      </w:r>
      <w:r>
        <w:rPr>
          <w:rFonts w:cs="Segoe UI"/>
          <w:i/>
          <w:iCs/>
          <w:noProof/>
        </w:rPr>
        <w:t xml:space="preserve">The soldier and the state: The theory and politics of civil-military relations</w:t>
      </w:r>
      <w:r>
        <w:rPr>
          <w:rFonts w:cs="Segoe UI"/>
          <w:noProof/>
        </w:rPr>
        <w:t xml:space="preserve">. Harvard University Press.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Isra, S. (2019). </w:t>
      </w:r>
      <w:r>
        <w:rPr>
          <w:rFonts w:cs="Segoe UI"/>
          <w:i/>
          <w:iCs/>
          <w:noProof/>
        </w:rPr>
        <w:t xml:space="preserve">Negara hukum dan demokrasi</w:t>
      </w:r>
      <w:r>
        <w:rPr>
          <w:rFonts w:cs="Segoe UI"/>
          <w:noProof/>
        </w:rPr>
        <w:t xml:space="preserve">. Rajawali Pers.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Kanter, E. Y., &amp; Sianturi, S. R. (2012). </w:t>
      </w:r>
      <w:r>
        <w:rPr>
          <w:rFonts w:cs="Segoe UI"/>
          <w:i/>
          <w:iCs/>
          <w:noProof/>
        </w:rPr>
        <w:t xml:space="preserve">Asas-asas hukum pidana di Indonesia dan penerapannya</w:t>
      </w:r>
      <w:r>
        <w:rPr>
          <w:rFonts w:cs="Segoe UI"/>
          <w:noProof/>
        </w:rPr>
        <w:t xml:space="preserve">. Storia Grafika.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Kementerian Pertahanan Republik Indonesia. (2023). </w:t>
      </w:r>
      <w:r>
        <w:rPr>
          <w:rFonts w:cs="Segoe UI"/>
          <w:i/>
          <w:iCs/>
          <w:noProof/>
        </w:rPr>
        <w:t xml:space="preserve">Buku putih pertahanan Indonesia 2023</w:t>
      </w:r>
      <w:r>
        <w:rPr>
          <w:rFonts w:cs="Segoe UI"/>
          <w:noProof/>
        </w:rPr>
        <w:t xml:space="preserve">. Kementerian Pertahanan Republik Indonesia.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Ma'mun, Y. (2024). Konsep jiwa korsa (</w:t>
      </w:r>
      <w:r>
        <w:rPr>
          <w:rFonts w:cs="Segoe UI"/>
          <w:i/>
          <w:iCs/>
          <w:noProof/>
        </w:rPr>
        <w:t xml:space="preserve">esprit de corps</w:t>
      </w:r>
      <w:r>
        <w:rPr>
          <w:rFonts w:cs="Segoe UI"/>
          <w:noProof/>
        </w:rPr>
        <w:t xml:space="preserve">) dan implikasinya terhadap penegakan hukum pidana militer. </w:t>
      </w:r>
      <w:r>
        <w:rPr>
          <w:rFonts w:cs="Segoe UI"/>
          <w:i/>
          <w:iCs/>
          <w:noProof/>
        </w:rPr>
        <w:t xml:space="preserve">Jurnal Hukum Militer</w:t>
      </w:r>
      <w:r>
        <w:rPr>
          <w:rFonts w:cs="Segoe UI"/>
          <w:noProof/>
        </w:rPr>
        <w:t xml:space="preserve">, </w:t>
      </w:r>
      <w:r>
        <w:rPr>
          <w:rFonts w:cs="Segoe UI"/>
          <w:i/>
          <w:iCs/>
          <w:noProof/>
        </w:rPr>
        <w:t xml:space="preserve">3</w:t>
      </w:r>
      <w:r>
        <w:rPr>
          <w:rFonts w:cs="Segoe UI"/>
          <w:noProof/>
        </w:rPr>
        <w:t xml:space="preserve">(2).</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Mahkamah Konstitusi Republik Indonesia. (2026). </w:t>
      </w:r>
      <w:r>
        <w:rPr>
          <w:rFonts w:cs="Segoe UI"/>
          <w:i/>
          <w:iCs/>
          <w:noProof/>
        </w:rPr>
        <w:t xml:space="preserve">Dua ahli jelaskan penempatan militer dalam kerangka negara demokrasi</w:t>
      </w:r>
      <w:r>
        <w:rPr>
          <w:rFonts w:cs="Segoe UI"/>
          <w:noProof/>
        </w:rPr>
        <w:t xml:space="preserve">. Mahkamah Konstitusi Republik Indonesia. https://www.mkri.id/berita/dua-ahli-jelaskan-penempatan-militer-dalam-kerangka-negara-demokrasi-24356</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Markas Besar Tentara Nasional Indonesia. (2019). </w:t>
      </w:r>
      <w:r>
        <w:rPr>
          <w:rFonts w:cs="Segoe UI"/>
          <w:i/>
          <w:iCs/>
          <w:noProof/>
        </w:rPr>
        <w:t xml:space="preserve">Buku saku Sapta Marga, Sumpah Prajurit, dan Delapan Wajib TNI</w:t>
      </w:r>
      <w:r>
        <w:rPr>
          <w:rFonts w:cs="Segoe UI"/>
          <w:noProof/>
        </w:rPr>
        <w:t xml:space="preserve">. Markas Besar Tentara Nasional Indonesia.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Maulana, S. (2024). Legitimasi perintah komando dalam tindak pidana militer: Perspektif kepastian hukum. </w:t>
      </w:r>
      <w:r>
        <w:rPr>
          <w:rFonts w:cs="Segoe UI"/>
          <w:i/>
          <w:iCs/>
          <w:noProof/>
        </w:rPr>
        <w:t xml:space="preserve">Jurnal Hukum Militer dan Pertahanan</w:t>
      </w:r>
      <w:r>
        <w:rPr>
          <w:rFonts w:cs="Segoe UI"/>
          <w:noProof/>
        </w:rPr>
        <w:t xml:space="preserve">, </w:t>
      </w:r>
      <w:r>
        <w:rPr>
          <w:rFonts w:cs="Segoe UI"/>
          <w:i/>
          <w:iCs/>
          <w:noProof/>
        </w:rPr>
        <w:t xml:space="preserve">4</w:t>
      </w:r>
      <w:r>
        <w:rPr>
          <w:rFonts w:cs="Segoe UI"/>
          <w:noProof/>
        </w:rPr>
        <w:t xml:space="preserve">(1).</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Milgram, S. (2019). </w:t>
      </w:r>
      <w:r>
        <w:rPr>
          <w:rFonts w:cs="Segoe UI"/>
          <w:i/>
          <w:iCs/>
          <w:noProof/>
        </w:rPr>
        <w:t xml:space="preserve">Obedience to authority: An experimental view</w:t>
      </w:r>
      <w:r>
        <w:rPr>
          <w:rFonts w:cs="Segoe UI"/>
          <w:noProof/>
        </w:rPr>
        <w:t xml:space="preserve">. Harper Perennial.</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Muladi. (2002). </w:t>
      </w:r>
      <w:r>
        <w:rPr>
          <w:rFonts w:cs="Segoe UI"/>
          <w:i/>
          <w:iCs/>
          <w:noProof/>
        </w:rPr>
        <w:t xml:space="preserve">Kapita selekta sistem peradilan pidana</w:t>
      </w:r>
      <w:r>
        <w:rPr>
          <w:rFonts w:cs="Segoe UI"/>
          <w:noProof/>
        </w:rPr>
        <w:t xml:space="preserve">. Badan Penerbit Universitas Diponegoro.</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Murti, I. (2023). Rekonstruksi disiplin dan kepatuhan hukum prajurit TNI dalam perspektif negara hukum. </w:t>
      </w:r>
      <w:r>
        <w:rPr>
          <w:rFonts w:cs="Segoe UI"/>
          <w:i/>
          <w:iCs/>
          <w:noProof/>
        </w:rPr>
        <w:t xml:space="preserve">Jurnal Lex Renaissance</w:t>
      </w:r>
      <w:r>
        <w:rPr>
          <w:rFonts w:cs="Segoe UI"/>
          <w:noProof/>
        </w:rPr>
        <w:t xml:space="preserve">, </w:t>
      </w:r>
      <w:r>
        <w:rPr>
          <w:rFonts w:cs="Segoe UI"/>
          <w:i/>
          <w:iCs/>
          <w:noProof/>
        </w:rPr>
        <w:t xml:space="preserve">8</w:t>
      </w:r>
      <w:r>
        <w:rPr>
          <w:rFonts w:cs="Segoe UI"/>
          <w:noProof/>
        </w:rPr>
        <w:t xml:space="preserve">(2).</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Oditurat Jenderal Tentara Nasional Indonesia. (2023). </w:t>
      </w:r>
      <w:r>
        <w:rPr>
          <w:rFonts w:cs="Segoe UI"/>
          <w:i/>
          <w:iCs/>
          <w:noProof/>
        </w:rPr>
        <w:t xml:space="preserve">Laporan tahunan penegakan hukum militer 2023</w:t>
      </w:r>
      <w:r>
        <w:rPr>
          <w:rFonts w:cs="Segoe UI"/>
          <w:noProof/>
        </w:rPr>
        <w:t xml:space="preserve">. Oditurat Jenderal Tentara Nasional Indonesia.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Purnomo, A. (2024). Kedudukan prajurit TNI sebagai subjek hukum dalam perspektif negara hukum Indonesia. </w:t>
      </w:r>
      <w:r>
        <w:rPr>
          <w:rFonts w:cs="Segoe UI"/>
          <w:i/>
          <w:iCs/>
          <w:noProof/>
        </w:rPr>
        <w:t xml:space="preserve">Jurnal Hukum Militer</w:t>
      </w:r>
      <w:r>
        <w:rPr>
          <w:rFonts w:cs="Segoe UI"/>
          <w:noProof/>
        </w:rPr>
        <w:t xml:space="preserve">, </w:t>
      </w:r>
      <w:r>
        <w:rPr>
          <w:rFonts w:cs="Segoe UI"/>
          <w:i/>
          <w:iCs/>
          <w:noProof/>
        </w:rPr>
        <w:t xml:space="preserve">2</w:t>
      </w:r>
      <w:r>
        <w:rPr>
          <w:rFonts w:cs="Segoe UI"/>
          <w:noProof/>
        </w:rPr>
        <w:t xml:space="preserve">(1).</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Schabas, W. A. (2016). </w:t>
      </w:r>
      <w:r>
        <w:rPr>
          <w:rFonts w:cs="Segoe UI"/>
          <w:i/>
          <w:iCs/>
          <w:noProof/>
        </w:rPr>
        <w:t xml:space="preserve">The International Criminal Court: A commentary on the Rome Statute</w:t>
      </w:r>
      <w:r>
        <w:rPr>
          <w:rFonts w:cs="Segoe UI"/>
          <w:noProof/>
        </w:rPr>
        <w:t xml:space="preserve"> (2nd ed.). Oxford University Press.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Syarifuddin, M. (2023). Tinjauan yuridis terhadap perintah atasan dalam tindak pidana militer. </w:t>
      </w:r>
      <w:r>
        <w:rPr>
          <w:rFonts w:cs="Segoe UI"/>
          <w:i/>
          <w:iCs/>
          <w:noProof/>
        </w:rPr>
        <w:t xml:space="preserve">Jurnal Hukum Militer</w:t>
      </w:r>
      <w:r>
        <w:rPr>
          <w:rFonts w:cs="Segoe UI"/>
          <w:noProof/>
        </w:rPr>
        <w:t xml:space="preserve">, </w:t>
      </w:r>
      <w:r>
        <w:rPr>
          <w:rFonts w:cs="Segoe UI"/>
          <w:i/>
          <w:iCs/>
          <w:noProof/>
        </w:rPr>
        <w:t xml:space="preserve">4</w:t>
      </w:r>
      <w:r>
        <w:rPr>
          <w:rFonts w:cs="Segoe UI"/>
          <w:noProof/>
        </w:rPr>
        <w:t xml:space="preserve">(1).</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Werle, G. (2014). </w:t>
      </w:r>
      <w:r>
        <w:rPr>
          <w:rFonts w:cs="Segoe UI"/>
          <w:i/>
          <w:iCs/>
          <w:noProof/>
        </w:rPr>
        <w:t xml:space="preserve">Principles of international criminal law</w:t>
      </w:r>
      <w:r>
        <w:rPr>
          <w:rFonts w:cs="Segoe UI"/>
          <w:noProof/>
        </w:rPr>
        <w:t xml:space="preserve"> (3rd ed.). Oxford University Press.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Wijaya, F. (2018). </w:t>
      </w:r>
      <w:r>
        <w:rPr>
          <w:rFonts w:cs="Segoe UI"/>
          <w:i/>
          <w:iCs/>
          <w:noProof/>
        </w:rPr>
        <w:t xml:space="preserve">Peradilan militer dalam dialektika hukum dan kekuasaan</w:t>
      </w:r>
      <w:r>
        <w:rPr>
          <w:rFonts w:cs="Segoe UI"/>
          <w:noProof/>
        </w:rPr>
        <w:t xml:space="preserve">. Pensil-324.</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Dasar Negara Republik Indonesia Tahun 1945.</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Ketetapan Majelis Permusyawaratan Rakyat Republik Indonesia Nomor VII/MPR/2000 tentang Peran Tentara Nasional Indonesia dan Peran Kepolisian Negara Republik Indonesia.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 Tahun 1946 tentang Peraturan Hukum Pidana (Kitab Undang-Undang Hukum Pidana).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39 Tahun 1947 tentang Kitab Undang-Undang Hukum Pidana Militer.</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31 Tahun 1997 tentang Peradilan Militer.</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34 Tahun 2004 tentang Tentara Nasional Indonesia sebagaimana telah diubah dengan Undang-Undang Republik Indonesia Nomor 3 Tahun 2025.</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Charter of the International Military Tribunal (Nuremberg). (1945). </w:t>
      </w:r>
      <w:r>
        <w:rPr>
          <w:rFonts w:cs="Segoe UI"/>
          <w:i/>
          <w:iCs/>
          <w:noProof/>
        </w:rPr>
        <w:t xml:space="preserve">Agreement for the prosecution and punishment of the major war criminals of the European Axis</w:t>
      </w:r>
      <w:r>
        <w:rPr>
          <w:rFonts w:cs="Segoe UI"/>
          <w:noProof/>
        </w:rPr>
        <w:t xml:space="preserve">, Article 8.</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Rome Statute of the International Criminal Court. (1998). </w:t>
      </w:r>
      <w:r>
        <w:rPr>
          <w:rFonts w:cs="Segoe UI"/>
          <w:i/>
          <w:iCs/>
          <w:noProof/>
        </w:rPr>
        <w:t xml:space="preserve">United Nations Treaty Series</w:t>
      </w:r>
      <w:r>
        <w:rPr>
          <w:rFonts w:cs="Segoe UI"/>
          <w:noProof/>
        </w:rPr>
        <w:t xml:space="preserve">, </w:t>
      </w:r>
      <w:r>
        <w:rPr>
          <w:rFonts w:cs="Segoe UI"/>
          <w:i/>
          <w:iCs/>
          <w:noProof/>
        </w:rPr>
        <w:t xml:space="preserve">2187</w:t>
      </w:r>
      <w:r>
        <w:rPr>
          <w:rFonts w:cs="Segoe UI"/>
          <w:noProof/>
        </w:rPr>
        <w:t xml:space="preserve">, Article 33.</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Vaydel Dondan Bara’tiku</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