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0"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Implementasi Keadilan Restoratif terhadap Tindak Pidana Penyalahgunaan Narkotika di Polres Palopo</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 xml:space="preserve">Yulinda Krisnamurti</w:t>
      </w:r>
      <w:r>
        <w:rPr>
          <w:rFonts w:cs="Segoe UI"/>
          <w:b/>
          <w:bCs/>
          <w:sz w:val="24"/>
          <w:szCs w:val="24"/>
          <w:lang w:val="fi-FI"/>
          <w:vertAlign w:val="superscript"/>
        </w:rPr>
        <w:t xml:space="preserve">1*</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lang w:val="fi-FI"/>
          <w:vertAlign w:val="superscript"/>
        </w:rPr>
        <w:t xml:space="preserve">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rPr>
        <w:t xml:space="preserve">yulinda@ukipaulus.ac.id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restorative justice, narcotics abuse, criminal investigation, rehabilitation, Police Regulation 8/2021, Palopo Police</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color w:val="181717"/>
                <w:sz w:val="20"/>
                <w:szCs w:val="20"/>
                <w:lang w:val="fi-FI"/>
              </w:rPr>
              <w:t xml:space="preserve">keadilan restoratif, penyalahgunaan narkotika, penyidikan, rehabilitasi, Perpol 8/2021, Polres Palopo</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 xml:space="preserve">Abstract: </w:t>
            </w:r>
            <w:r>
              <w:rPr>
                <w:rFonts w:eastAsia="Times New Roman" w:cs="Segoe UI"/>
                <w:i/>
                <w:iCs/>
                <w:sz w:val="20"/>
                <w:szCs w:val="20"/>
              </w:rPr>
              <w:t xml:space="preserve">Narcotics abuse in Indonesia has long been handled through an imprisonment-oriented paradigm, although Article 54 of Law Number 35 of 2009 places addicts and victims of narcotics abuse as subjects entitled to rehabilitation. Restorative justice offers an alternative, yet it is regulated only through scattered implementing rules of each law enforcement institution. This study examines how restorative justice is implemented in narcotics cases at the Palopo Resort Police and identifies the constraints that accompany it. Using normative legal research with a legal memorandum and case study approach, supported by field data obtained from the Narcotics Investigation Unit of the Palopo Resort Police, primary and secondary legal materials were analysed descriptively and qualitatively. The study finds that the implementation conforms to Police Regulation Number 8 of 2021, since termination of investigation is granted only after the general and special requirements under Articles 5 and 9 are fulfilled, the suspect is a user rather than a courier, dealer or recidivist, and an integrated assessment has been conducted. No normative or procedural obstacle was found at the investigator level; the remaining constraints are structural, namely regulatory fragmentation, limited budget and facilities, rehabilitation capacity, and low public legal literacy.</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sz w:val="20"/>
                <w:szCs w:val="20"/>
              </w:rPr>
              <w:t xml:space="preserve">Abstrak: </w:t>
            </w:r>
            <w:r>
              <w:rPr>
                <w:rFonts w:eastAsia="Times New Roman" w:cs="Segoe UI"/>
                <w:sz w:val="20"/>
                <w:szCs w:val="20"/>
              </w:rPr>
              <w:t xml:space="preserve">Penanganan penyalahgunaan narkotika di Indonesia selama ini didominasi paradigma pemenjaraan, padahal Pasal 54 Undang-Undang Nomor 35 Tahun 2009 menempatkan pecandu dan korban penyalahgunaan narkotika sebagai subjek yang berhak memperoleh rehabilitasi. Keadilan restoratif hadir sebagai alternatif, namun pengaturannya tersebar dalam peraturan pelaksana masing-masing institusi penegak hukum. Penelitian ini mengkaji implementasi keadilan restoratif terhadap tindak pidana penyalahgunaan narkotika di Polres Palopo serta kendala yang menyertainya. Penelitian menggunakan metode hukum normatif dengan pendekatan legal memorandum dan studi kasus, didukung data lapangan dari Satresnarkoba Polres Palopo; bahan hukum primer dan sekunder dianalisis secara deskriptif-kualitatif. Hasil penelitian menunjukkan bahwa implementasinya telah sesuai dengan Peraturan Kepolisian Nomor 8 Tahun 2021, karena penghentian penyidikan baru diberikan setelah syarat umum dan syarat khusus dalam Pasal 5 dan Pasal 9 terpenuhi, tersangka berkedudukan sebagai pengguna dan bukan kurir, bandar, atau residivis, serta telah dilaksanakan asesmen terpadu. Tidak ditemukan kendala normatif-prosedural pada tataran penyidik; kendala yang tersisa bersifat struktural, yaitu fragmentasi regulasi, keterbatasan anggaran dan sarana, kapasitas lembaga rehabilitasi, serta rendahnya literasi hukum masyarakat.</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 xml:space="preserve">Informasi Artikel: </w:t>
            </w:r>
            <w:r>
              <w:rPr>
                <w:rFonts w:cs="Segoe UI"/>
                <w:sz w:val="20"/>
                <w:szCs w:val="20"/>
              </w:rPr>
              <w:t xml:space="preserve">Diterima: …, Disetujui: …, Dipublikasikan: … (diisi oleh panitia)</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rsidRPr="001E0508">
        <w:t>PENDAHULUAN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Penyalahgunaan narkotika merupakan kejahatan luar biasa yang tidak hanya merusak kesehatan fisik dan mental individu, tetapi juga mengancam kualitas generasi dan ketahanan nasional. Perkembangan penyalahgunaan narkotika menunjukkan kecenderungan yang terus meningkat dan telah merambah seluruh lapisan masyarakat, dari usia dewasa hingga usia dini. Kondisi tersebut menuntut respons hukum yang tidak semata-mata bertumpu pada penghukuman, melainkan juga pada pemulihan pengguna sebagai bagian dari kebijakan penanggulangan kejahatan yang integral (Hatta, 2022).</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Secara normatif, Undang-Undang Nomor 35 Tahun 2009 tentang Narkotika mengandung dua wajah kebijakan yang berjalan beriringan. Pasal 127 ayat (1) mengancam penyalah guna narkotika bagi diri sendiri dengan pidana penjara paling lama empat tahun untuk Golongan I, dua tahun untuk Golongan II, dan satu tahun untuk Golongan III; sementara Pasal 54 menegaskan bahwa pecandu narkotika dan korban penyalahgunaan narkotika wajib menjalani rehabilitasi medis dan rehabilitasi sosial. Ketegangan antara kedua norma tersebut melahirkan persoalan klasik dalam praktik penegakan hukum, yaitu kecenderungan menempatkan penyalah guna pada posisi pelaku semata dan mengabaikan kedudukannya sebagai korban.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Ketegangan tersebut terasa nyata pada tataran wilayah. Direktorat Reserse Narkoba Kepolisian Daerah Sulawesi Selatan mencatat 1.564 kasus narkoba dengan 2.114 tersangka sepanjang Januari hingga September 2024 (Antara, 2024). Volume perkara sebesar itu memberikan tekanan serius terhadap kapasitas penyidikan, kapasitas penuntutan, dan daya tampung lembaga pemasyarakatan, sekaligus memperbesar risiko bahwa penyalah guna yang berstatus pengguna murni justru bertemu dan berinteraksi dengan pengedar di dalam lembaga pemasyarakatan.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Polres Palopo merupakan satuan wilayah yang menghadapi tekanan tersebut secara langsung. Tingginya perkara narkotika di wilayah hukum Polres Palopo antara lain dipicu oleh mudahnya perekrutan kurir dengan iming-iming upah berupa uang maupun narkotika jenis sabu secara cuma-cuma. Salah satu perkara yang menjadi objek kajian adalah peristiwa pada tahun 2022, ketika seseorang membeli narkotika golongan I jenis sabu senilai Rp200.000,00 untuk dikonsumsi sendiri dan diamankan anggota Polres Palopo setelah mengonsumsinya di kediamannya. Terhadap perbuatan yang memenuhi rumusan Pasal 127 ayat (1) huruf a Undang-Undang Nomor 35 Tahun 2009 tersebut, penyidik menempuh penyelesaian melalui pendekatan keadilan restoratif dengan terlebih dahulu melakukan penelitian terhadap keadaan sehari-hari dan pekerjaan pelaku di lingkungan rumah, keluarga, dan tetangganya.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Persoalan hukum muncul karena keadilan restoratif dalam perkara narkotika di Indonesia tidak dibangun di atas satu payung undang-undang, melainkan tersebar dalam peraturan pelaksana masing-masing institusi: Peraturan Kepolisian Nomor 8 Tahun 2021, Peraturan Kejaksaan Nomor 15 Tahun 2020, Pedoman Jaksa Agung Nomor 18 Tahun 2021, serta Surat Edaran Mahkamah Agung Nomor 4 Tahun 2010. Setiap peraturan berlaku secara internal bagi institusi pembentuknya, sehingga berpotensi menimbulkan perbedaan standar antarsubsistem peradilan pidana dan disparitas penyelesaian perkara pada kasus yang secara faktual serupa.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Sejumlah penelitian terdahulu telah membahas keadilan restoratif dalam perkara narkotika. Arief (2018) mengkaji penerapan prinsip keadilan restoratif dalam sistem peradilan pidana Indonesia secara konseptual, Pakpahan (2015) menyoroti kedudukan pengguna narkotika dalam kerangka keadilan restoratif, Wibowo dan Yuni (2021) memetakan posisi keadilan restoratif dalam peradilan pidana Indonesia, sedangkan Lawalata dkk. (2022) meninjau pendekatan keadilan restoratif pada tahap penyidikan perkara narkotika. Akub dan Sutiawati (2018) menyusun kerangka teoretik keadilan restoratif dengan bertumpu pada gagasan Marshall mengenai partisipasi penuh para pihak.</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Kajian-kajian tersebut umumnya bergerak pada tataran normatif dan konseptual dalam skala nasional, dan sebagian besar disusun sebelum atau bersamaan dengan berlakunya Peraturan Kepolisian Nomor 8 Tahun 2021. Berbeda dengan penelitian sebelumnya yang berfokus pada rumusan norma dan gagasan besar keadilan restoratif, penelitian ini menitikberatkan pada pengujian pelaksanaan norma tersebut pada satu satuan wilayah, yaitu Polres Palopo, termasuk menguji secara kritis klaim bahwa penerapan keadilan restoratif berjalan tanpa kendala.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Berdasarkan uraian tersebut, penelitian ini bertujuan untuk mengetahui dan menganalisis implementasi keadilan restoratif terhadap tindak pidana penyalahgunaan narkotika di Polres Palopo, serta mengidentifikasi dan menganalisis kendala yang dihadapi dalam implementasi tersebut. Kedua tujuan itu dijawab dengan menempatkan norma Peraturan Kepolisian Nomor 8 Tahun 2021 sebagai tolok ukur dan praktik penyidikan di Satresnarkoba Polres Palopo sebagai objek pengujian.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Secara teoretis, penelitian ini memberikan kontribusi berupa pengujian empiris terhadap teori tujuan hukum Gustav Radbruch dan teori faktor-faktor penegakan hukum Soerjono Soekanto pada praktik diskresi penyidik dalam perkara narkotika. Secara praktis, temuan penelitian ini relevan bagi penguatan pedoman internal Polri dan bagi konsolidasi pengaturan keadilan restoratif, terlebih setelah berlakunya Kitab Undang-Undang Hukum Pidana Nasional (Undang-Undang Nomor 1 Tahun 2023) pada 2 Januari 2026 yang mengedepankan pedoman pemidanaan dan alternatif pemidanaan non-penjara.</w:t>
      </w:r>
    </w:p>
    <w:p w14:paraId="1382B788" w14:textId="468BF956" w:rsidR="001E0508" w:rsidRPr="001C62FB" w:rsidRDefault="001C62FB" w:rsidP="00955050">
      <w:pPr>
        <w:pStyle w:val="Heading3"/>
        <w:ind w:left="1134" w:right="322" w:hanging="425"/>
      </w:pPr>
      <w:r w:rsidRPr="001C62FB">
        <w:t>METODOLOGI PENELITIAN</w:t>
      </w:r>
      <w:r w:rsidR="001E0508" w:rsidRPr="001C62FB">
        <w:t xml:space="preserve"> </w:t>
      </w:r>
    </w:p>
    <w:p w14:paraId="554F5361" w14:textId="5C7D14CE" w:rsidR="001C62FB" w:rsidRPr="00955050" w:rsidRDefault="001C62FB" w:rsidP="00955050">
      <w:pPr>
        <w:pStyle w:val="Heading2"/>
        <w:ind w:right="322"/>
        <w:rPr>
          <w:rStyle w:val="mediumtext"/>
        </w:rPr>
      </w:pPr>
      <w:r>
        <w:rPr>
          <w:b/>
          <w:rStyle w:val="mediumtext"/>
        </w:rPr>
        <w:t xml:space="preserve">2.1 Jenis dan Pendekatan Penelitian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Penelitian ini merupakan penelitian hukum normatif, yaitu penelitian yang menempatkan norma hukum sebagai objek kajian utama dan menguji kesesuaian antara norma dengan penerapannya dalam praktik penegakan hukum. Pilihan tersebut didasarkan pada karakter permasalahan yang dikaji, yaitu apakah penyelesaian perkara penyalahgunaan narkotika di Polres Palopo telah dilaksanakan sesuai dengan norma keadilan restoratif yang berlaku.</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Sesuai dengan bentuk tugas akhir yang menjadi dasar artikel ini, penelitian menggunakan pendekatan </w:t>
      </w:r>
      <w:r>
        <w:rPr>
          <w:i/>
          <w:rStyle w:val="longtext"/>
          <w:rFonts w:ascii="Segoe UI" w:hAnsi="Segoe UI" w:cs="Segoe UI"/>
          <w:sz w:val="22"/>
          <w:szCs w:val="22"/>
          <w:shd w:val="clear" w:color="auto" w:fill="FFFFFF"/>
          <w:lang w:val="sv-SE"/>
        </w:rPr>
        <w:t xml:space="preserve">legal memorandum</w:t>
      </w:r>
      <w:r>
        <w:rPr>
          <w:rStyle w:val="longtext"/>
          <w:rFonts w:ascii="Segoe UI" w:hAnsi="Segoe UI" w:cs="Segoe UI"/>
          <w:sz w:val="22"/>
          <w:szCs w:val="22"/>
          <w:shd w:val="clear" w:color="auto" w:fill="FFFFFF"/>
          <w:lang w:val="sv-SE"/>
        </w:rPr>
        <w:t xml:space="preserve">, yakni penelaahan atas suatu persoalan hukum konkret untuk kemudian dirumuskan pendapat hukum berdasarkan peraturan perundang-undangan yang berlaku. Pendekatan tersebut ditopang oleh pendekatan perundang-undangan (</w:t>
      </w:r>
      <w:r>
        <w:rPr>
          <w:i/>
          <w:rStyle w:val="longtext"/>
          <w:rFonts w:ascii="Segoe UI" w:hAnsi="Segoe UI" w:cs="Segoe UI"/>
          <w:sz w:val="22"/>
          <w:szCs w:val="22"/>
          <w:shd w:val="clear" w:color="auto" w:fill="FFFFFF"/>
          <w:lang w:val="sv-SE"/>
        </w:rPr>
        <w:t xml:space="preserve">statute approach</w:t>
      </w:r>
      <w:r>
        <w:rPr>
          <w:rStyle w:val="longtext"/>
          <w:rFonts w:ascii="Segoe UI" w:hAnsi="Segoe UI" w:cs="Segoe UI"/>
          <w:sz w:val="22"/>
          <w:szCs w:val="22"/>
          <w:shd w:val="clear" w:color="auto" w:fill="FFFFFF"/>
          <w:lang w:val="sv-SE"/>
        </w:rPr>
        <w:t xml:space="preserve">) untuk menelaah Undang-Undang Nomor 35 Tahun 2009, Peraturan Kepolisian Nomor 8 Tahun 2021, dan peraturan terkait lainnya; pendekatan kasus (</w:t>
      </w:r>
      <w:r>
        <w:rPr>
          <w:i/>
          <w:rStyle w:val="longtext"/>
          <w:rFonts w:ascii="Segoe UI" w:hAnsi="Segoe UI" w:cs="Segoe UI"/>
          <w:sz w:val="22"/>
          <w:szCs w:val="22"/>
          <w:shd w:val="clear" w:color="auto" w:fill="FFFFFF"/>
          <w:lang w:val="sv-SE"/>
        </w:rPr>
        <w:t xml:space="preserve">case approach</w:t>
      </w:r>
      <w:r>
        <w:rPr>
          <w:rStyle w:val="longtext"/>
          <w:rFonts w:ascii="Segoe UI" w:hAnsi="Segoe UI" w:cs="Segoe UI"/>
          <w:sz w:val="22"/>
          <w:szCs w:val="22"/>
          <w:shd w:val="clear" w:color="auto" w:fill="FFFFFF"/>
          <w:lang w:val="sv-SE"/>
        </w:rPr>
        <w:t xml:space="preserve">) terhadap perkara penyalahgunaan narkotika yang diselesaikan secara restoratif di Polres Palopo pada tahun 2022; serta pendekatan konseptual (</w:t>
      </w:r>
      <w:r>
        <w:rPr>
          <w:i/>
          <w:rStyle w:val="longtext"/>
          <w:rFonts w:ascii="Segoe UI" w:hAnsi="Segoe UI" w:cs="Segoe UI"/>
          <w:sz w:val="22"/>
          <w:szCs w:val="22"/>
          <w:shd w:val="clear" w:color="auto" w:fill="FFFFFF"/>
          <w:lang w:val="sv-SE"/>
        </w:rPr>
        <w:t xml:space="preserve">conceptual approach</w:t>
      </w:r>
      <w:r>
        <w:rPr>
          <w:rStyle w:val="longtext"/>
          <w:rFonts w:ascii="Segoe UI" w:hAnsi="Segoe UI" w:cs="Segoe UI"/>
          <w:sz w:val="22"/>
          <w:szCs w:val="22"/>
          <w:shd w:val="clear" w:color="auto" w:fill="FFFFFF"/>
          <w:lang w:val="sv-SE"/>
        </w:rPr>
        <w:t xml:space="preserve">) untuk menguji temuan dengan teori tujuan hukum, teori pemidanaan, dan teori penegakan hukum.</w:t>
      </w:r>
    </w:p>
    <w:p w14:paraId="554F5361" w14:textId="5C7D14CE" w:rsidR="001C62FB" w:rsidRPr="00955050" w:rsidRDefault="001C62FB" w:rsidP="00955050">
      <w:pPr>
        <w:pStyle w:val="Heading2"/>
        <w:ind w:right="322"/>
        <w:rPr>
          <w:rStyle w:val="mediumtext"/>
        </w:rPr>
      </w:pPr>
      <w:r>
        <w:rPr>
          <w:b/>
          <w:rStyle w:val="mediumtext"/>
        </w:rPr>
        <w:t xml:space="preserve">2.2 Lokasi Penelitian dan Sumber Bahan Hukum</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Penelitian dilakukan di Kepolisian Resor Palopo, khususnya pada Satuan Reserse Narkoba (Satresnarkoba) sebagai satuan yang berwenang melakukan penyelidikan dan penyidikan tindak pidana narkotika. Pemilihan lokasi didasarkan pada pertimbangan bahwa satuan tersebut secara konsisten menyelesaikan perkara penyalahgunaan narkotika melalui mekanisme keadilan restoratif dalam tiga tahun terakhir, sehingga menyediakan konteks yang memadai untuk menguji pelaksanaan norma.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Bahan hukum primer meliputi Undang-Undang Nomor 35 Tahun 2009 tentang Narkotika, Undang-Undang Nomor 1 Tahun 2023 tentang Kitab Undang-Undang Hukum Pidana, Peraturan Kepolisian Nomor 8 Tahun 2021 tentang Penanganan Tindak Pidana Berdasarkan Keadilan Restoratif, Peraturan Kepala Kepolisian Nomor 6 Tahun 2019 tentang Penyidikan Tindak Pidana, Peraturan Kejaksaan Nomor 15 Tahun 2020, Pedoman Jaksa Agung Nomor 18 Tahun 2021, dan Surat Edaran Mahkamah Agung Nomor 4 Tahun 2010. Bahan hukum sekunder berupa buku, artikel jurnal, dan hasil penelitian terdahulu yang relevan dengan keadilan restoratif dan tindak pidana narkotika.</w:t>
      </w:r>
    </w:p>
    <w:p w14:paraId="554F5361" w14:textId="5C7D14CE" w:rsidR="001C62FB" w:rsidRPr="00955050" w:rsidRDefault="001C62FB" w:rsidP="00955050">
      <w:pPr>
        <w:pStyle w:val="Heading2"/>
        <w:ind w:right="322"/>
        <w:rPr>
          <w:rStyle w:val="mediumtext"/>
        </w:rPr>
      </w:pPr>
      <w:r>
        <w:rPr>
          <w:b/>
          <w:rStyle w:val="mediumtext"/>
        </w:rPr>
        <w:t xml:space="preserve">2.3 Teknik Pengumpulan Bahan Hukum dan Data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Pengumpulan bahan hukum dilakukan melalui penelitian kepustakaan (</w:t>
      </w:r>
      <w:r>
        <w:rPr>
          <w:i/>
          <w:rStyle w:val="longtext"/>
          <w:rFonts w:ascii="Segoe UI" w:hAnsi="Segoe UI" w:cs="Segoe UI"/>
          <w:sz w:val="22"/>
          <w:szCs w:val="22"/>
          <w:shd w:val="clear" w:color="auto" w:fill="FFFFFF"/>
          <w:lang w:val="sv-SE"/>
        </w:rPr>
        <w:t xml:space="preserve">library research</w:t>
      </w:r>
      <w:r>
        <w:rPr>
          <w:rStyle w:val="longtext"/>
          <w:rFonts w:ascii="Segoe UI" w:hAnsi="Segoe UI" w:cs="Segoe UI"/>
          <w:sz w:val="22"/>
          <w:szCs w:val="22"/>
          <w:shd w:val="clear" w:color="auto" w:fill="FFFFFF"/>
          <w:lang w:val="sv-SE"/>
        </w:rPr>
        <w:t xml:space="preserve">), yaitu penelusuran dan inventarisasi peraturan perundang-undangan, buku, jurnal, dan dokumen resmi yang berkaitan dengan objek penelitian. Bahan hukum yang terkumpul diklasifikasikan menurut hierarki dan relevansinya terhadap kedua rumusan masalah.</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Guna memperoleh gambaran pelaksanaan norma, penelitian kepustakaan tersebut ditopang penelitian lapangan (</w:t>
      </w:r>
      <w:r>
        <w:rPr>
          <w:i/>
          <w:rStyle w:val="longtext"/>
          <w:rFonts w:ascii="Segoe UI" w:hAnsi="Segoe UI" w:cs="Segoe UI"/>
          <w:sz w:val="22"/>
          <w:szCs w:val="22"/>
          <w:shd w:val="clear" w:color="auto" w:fill="FFFFFF"/>
          <w:lang w:val="sv-SE"/>
        </w:rPr>
        <w:t xml:space="preserve">field research</w:t>
      </w:r>
      <w:r>
        <w:rPr>
          <w:rStyle w:val="longtext"/>
          <w:rFonts w:ascii="Segoe UI" w:hAnsi="Segoe UI" w:cs="Segoe UI"/>
          <w:sz w:val="22"/>
          <w:szCs w:val="22"/>
          <w:shd w:val="clear" w:color="auto" w:fill="FFFFFF"/>
          <w:lang w:val="sv-SE"/>
        </w:rPr>
        <w:t xml:space="preserve">) di Polres Palopo berupa wawancara dengan Kepala Satuan Reserse Narkoba Polres Palopo serta penelusuran dokumen penanganan perkara. Data lapangan diposisikan bukan sebagai data statistik yang hendak digeneralisasi, melainkan sebagai konteks pelaksanaan norma yang berfungsi menguji kesenjangan antara peraturan dan praktik.</w:t>
      </w:r>
    </w:p>
    <w:p w14:paraId="554F5361" w14:textId="5C7D14CE" w:rsidR="001C62FB" w:rsidRPr="00955050" w:rsidRDefault="001C62FB" w:rsidP="00955050">
      <w:pPr>
        <w:pStyle w:val="Heading2"/>
        <w:ind w:right="322"/>
        <w:rPr>
          <w:rStyle w:val="mediumtext"/>
        </w:rPr>
      </w:pPr>
      <w:r>
        <w:rPr>
          <w:b/>
          <w:rStyle w:val="mediumtext"/>
        </w:rPr>
        <w:t xml:space="preserve">2.4 Teknik Analisis</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Bahan hukum dan data yang telah terkumpul dianalisis secara deskriptif-kualitatif. Analisis dimulai dengan menguraikan norma keadilan restoratif dalam perkara narkotika, dilanjutkan dengan pemaparan fakta penanganan perkara di Polres Palopo, kemudian dilakukan penilaian kesesuaian antara norma dan fakta tersebut. Pada tahap akhir, hasil penilaian diuji dengan teori tujuan hukum Radbruch mengenai keadilan, kemanfaatan, dan kepastian hukum, serta teori faktor-faktor penegakan hukum Soerjono Soekanto untuk mengidentifikasi kendala. Kesimpulan ditarik secara deduktif dari norma umum menuju penilaian atas kasus konkret yang dikaji.</w:t>
      </w:r>
    </w:p>
    <w:p w14:paraId="12B5585A" w14:textId="6E9841B4" w:rsidR="001E0508" w:rsidRPr="001C62FB" w:rsidRDefault="006F0069" w:rsidP="006F0069">
      <w:pPr>
        <w:pStyle w:val="Heading3"/>
        <w:ind w:left="1134" w:hanging="283"/>
      </w:pPr>
      <w:r w:rsidRPr="001C62FB">
        <w:rPr>
          <w:iCs/>
        </w:rPr>
        <w:t>HASIL DA</w:t>
      </w:r>
      <w:r w:rsidRPr="001C62FB">
        <w:t>N PEMBAHASAN</w:t>
      </w:r>
    </w:p>
    <w:p w14:paraId="554F5361" w14:textId="5C7D14CE" w:rsidR="001C62FB" w:rsidRPr="00955050" w:rsidRDefault="001C62FB" w:rsidP="00955050">
      <w:pPr>
        <w:pStyle w:val="Heading2"/>
        <w:ind w:right="322"/>
        <w:rPr>
          <w:rStyle w:val="mediumtext"/>
        </w:rPr>
      </w:pPr>
      <w:r>
        <w:rPr>
          <w:b/>
          <w:rStyle w:val="mediumtext"/>
        </w:rPr>
        <w:t xml:space="preserve">3.1 Kerangka Normatif Keadilan Restoratif dalam Perkara Narkotika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Keadilan restoratif dipahami sebagai penyelesaian perkara dengan melibatkan pelaku, korban, keluarga pelaku, keluarga korban, tokoh masyarakat, tokoh agama, tokoh adat, atau pemangku kepentingan untuk bersama-sama mencari penyelesaian yang adil melalui perdamaian dengan menekankan pemulihan kembali pada keadaan semula, sebagaimana dirumuskan Pasal 1 angka 3 Peraturan Kepolisian Nomor 8 Tahun 2021. Marshall menempatkan partisipasi penuh para pihak, pemulihan, pertanggungjawaban langsung pelaku, reintegrasi warga yang terpecah, dan penguatan masyarakat sebagai lima prinsip yang menopang konsep tersebut (Akub &amp; Sutiawati, 2018).</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Dalam perkara narkotika, konsep tersebut memperoleh landasan normatif tambahan dari Pasal 54 Undang-Undang Nomor 35 Tahun 2009 yang mewajibkan rehabilitasi medis dan sosial bagi pecandu dan korban penyalahgunaan narkotika. Dengan demikian, keadilan restoratif dalam perkara narkotika tidak berdiri sebagai kebijakan diskresioner semata, melainkan merupakan pelaksanaan perintah undang-undang untuk memulihkan penyalah guna. Persoalannya, perintah tersebut dioperasionalkan melalui instrumen hukum yang tersebar sebagaimana disajikan pada </w:t>
      </w:r>
      <w:r>
        <w:rPr>
          <w:b/>
          <w:rStyle w:val="longtext"/>
          <w:rFonts w:ascii="Segoe UI" w:hAnsi="Segoe UI" w:cs="Segoe UI"/>
          <w:sz w:val="22"/>
          <w:szCs w:val="22"/>
          <w:shd w:val="clear" w:color="auto" w:fill="FFFFFF"/>
          <w:lang w:val="sv-SE"/>
        </w:rPr>
        <w:t xml:space="preserve">Tabel 1</w:t>
      </w:r>
      <w:r>
        <w:rPr>
          <w:rStyle w:val="longtext"/>
          <w:rFonts w:ascii="Segoe UI" w:hAnsi="Segoe UI" w:cs="Segoe UI"/>
          <w:sz w:val="22"/>
          <w:szCs w:val="22"/>
          <w:shd w:val="clear" w:color="auto" w:fill="FFFFFF"/>
          <w:lang w:val="sv-SE"/>
        </w:rPr>
        <w:t xml:space="preserve">.</w:t>
      </w:r>
    </w:p>
    <w:p w14:paraId="7EF45635" w14:textId="0AF9A58F" w:rsidR="006F0069" w:rsidRPr="006F0069" w:rsidRDefault="006F0069" w:rsidP="006F0069">
      <w:pPr>
        <w:tabs>
          <w:tab w:val="left" w:pos="450"/>
        </w:tabs>
        <w:spacing w:before="100" w:beforeAutospacing="1" w:after="100" w:afterAutospacing="1"/>
        <w:contextualSpacing/>
        <w:jc w:val="center"/>
        <w:rPr>
          <w:rFonts w:eastAsia="Constantia" w:cs="Segoe UI"/>
          <w:sz w:val="20"/>
          <w:szCs w:val="20"/>
          <w:lang w:val="en-US"/>
        </w:rPr>
      </w:pPr>
      <w:r>
        <w:rPr>
          <w:rFonts w:eastAsia="Constantia" w:cs="Segoe UI"/>
          <w:b/>
          <w:bCs/>
          <w:sz w:val="20"/>
          <w:szCs w:val="20"/>
          <w:lang w:val="en-US"/>
        </w:rPr>
        <w:t xml:space="preserve">Tabel 1.</w:t>
      </w:r>
      <w:r>
        <w:rPr>
          <w:rFonts w:eastAsia="Constantia" w:cs="Segoe UI"/>
          <w:sz w:val="20"/>
          <w:szCs w:val="20"/>
          <w:lang w:val="en-US"/>
        </w:rPr>
        <w:t xml:space="preserve"> Instrumen Hukum Keadilan Restoratif dalam Perkara Tindak Pidana Narkotika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600"/>
        <w:gridCol w:w="1500"/>
        <w:gridCol w:w="4100"/>
      </w:tblGrid>
      <w:tr>
        <w:trPr>
          <w:tblHeader/>
          <w:tblCellSpacing w:w="15" w:type="dxa"/>
          <w:jc w:val="center"/>
        </w:trPr>
        <w:tc>
          <w:tcPr>
            <w:tcW w:w="2600" w:type="dxa"/>
            <w:tcBorders>
              <w:top w:val="single" w:sz="4" w:space="0" w:color="auto"/>
              <w:bottom w:val="single" w:sz="4" w:space="0" w:color="auto"/>
            </w:tcBorders>
            <w:vAlign w:val="center"/>
          </w:tcPr>
          <w:p>
            <w:pPr>
              <w:spacing w:before="40" w:after="40" w:line="240" w:lineRule="auto"/>
              <w:jc w:val="center"/>
            </w:pPr>
            <w:r>
              <w:rPr>
                <w:rFonts w:cs="Segoe UI"/>
                <w:b/>
                <w:bCs/>
                <w:sz w:val="18"/>
                <w:szCs w:val="18"/>
              </w:rPr>
              <w:t xml:space="preserve">Instrumen Hukum</w:t>
            </w:r>
          </w:p>
        </w:tc>
        <w:tc>
          <w:tcPr>
            <w:tcW w:w="1500" w:type="dxa"/>
            <w:tcBorders>
              <w:top w:val="single" w:sz="4" w:space="0" w:color="auto"/>
              <w:bottom w:val="single" w:sz="4" w:space="0" w:color="auto"/>
            </w:tcBorders>
            <w:vAlign w:val="center"/>
          </w:tcPr>
          <w:p>
            <w:pPr>
              <w:spacing w:before="40" w:after="40" w:line="240" w:lineRule="auto"/>
              <w:jc w:val="center"/>
            </w:pPr>
            <w:r>
              <w:rPr>
                <w:rFonts w:cs="Segoe UI"/>
                <w:b/>
                <w:bCs/>
                <w:sz w:val="18"/>
                <w:szCs w:val="18"/>
              </w:rPr>
              <w:t xml:space="preserve">Institusi</w:t>
            </w:r>
          </w:p>
        </w:tc>
        <w:tc>
          <w:tcPr>
            <w:tcW w:w="4100" w:type="dxa"/>
            <w:tcBorders>
              <w:top w:val="single" w:sz="4" w:space="0" w:color="auto"/>
              <w:bottom w:val="single" w:sz="4" w:space="0" w:color="auto"/>
            </w:tcBorders>
            <w:vAlign w:val="center"/>
          </w:tcPr>
          <w:p>
            <w:pPr>
              <w:spacing w:before="40" w:after="40" w:line="240" w:lineRule="auto"/>
              <w:jc w:val="center"/>
            </w:pPr>
            <w:r>
              <w:rPr>
                <w:rFonts w:cs="Segoe UI"/>
                <w:b/>
                <w:bCs/>
                <w:sz w:val="18"/>
                <w:szCs w:val="18"/>
              </w:rPr>
              <w:t xml:space="preserve">Substansi Pokok</w:t>
            </w:r>
          </w:p>
        </w:tc>
      </w:tr>
      <w:tr>
        <w:trPr>
          <w:tblCellSpacing w:w="15" w:type="dxa"/>
          <w:jc w:val="center"/>
        </w:trPr>
        <w:tc>
          <w:tcPr>
            <w:tcW w:w="26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SEMA Nomor 4 Tahun 2010</w:t>
            </w:r>
          </w:p>
        </w:tc>
        <w:tc>
          <w:tcPr>
            <w:tcW w:w="15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Mahkamah Agung</w:t>
            </w:r>
          </w:p>
        </w:tc>
        <w:tc>
          <w:tcPr>
            <w:tcW w:w="4100" w:type="dxa"/>
            <w:tcBorders>
              <w:top w:val="single" w:sz="4" w:space="0" w:color="auto"/>
              <w:bottom w:val="single" w:sz="4" w:space="0" w:color="auto"/>
            </w:tcBorders>
            <w:vAlign w:val="center"/>
          </w:tcPr>
          <w:p>
            <w:pPr>
              <w:spacing w:before="40" w:after="40" w:line="240" w:lineRule="auto"/>
              <w:jc w:val="left"/>
            </w:pPr>
            <w:r>
              <w:rPr>
                <w:rFonts w:cs="Segoe UI"/>
                <w:sz w:val="18"/>
                <w:szCs w:val="18"/>
              </w:rPr>
              <w:t xml:space="preserve">Penempatan penyalah guna, korban penyalahgunaan, dan pecandu narkotika ke lembaga rehabilitasi; batas barang bukti pemakaian satu hari</w:t>
            </w:r>
          </w:p>
        </w:tc>
      </w:tr>
      <w:tr>
        <w:trPr>
          <w:tblCellSpacing w:w="15" w:type="dxa"/>
          <w:jc w:val="center"/>
        </w:trPr>
        <w:tc>
          <w:tcPr>
            <w:tcW w:w="26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SE Kapolri Nomor SE/8/VII/2018</w:t>
            </w:r>
          </w:p>
        </w:tc>
        <w:tc>
          <w:tcPr>
            <w:tcW w:w="15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Polri</w:t>
            </w:r>
          </w:p>
        </w:tc>
        <w:tc>
          <w:tcPr>
            <w:tcW w:w="4100" w:type="dxa"/>
            <w:tcBorders>
              <w:top w:val="single" w:sz="4" w:space="0" w:color="auto"/>
              <w:bottom w:val="single" w:sz="4" w:space="0" w:color="auto"/>
            </w:tcBorders>
            <w:vAlign w:val="center"/>
          </w:tcPr>
          <w:p>
            <w:pPr>
              <w:spacing w:before="40" w:after="40" w:line="240" w:lineRule="auto"/>
              <w:jc w:val="left"/>
            </w:pPr>
            <w:r>
              <w:rPr>
                <w:rFonts w:cs="Segoe UI"/>
                <w:sz w:val="18"/>
                <w:szCs w:val="18"/>
              </w:rPr>
              <w:t xml:space="preserve">Penerapan keadilan restoratif dalam penyelesaian perkara pidana</w:t>
            </w:r>
          </w:p>
        </w:tc>
      </w:tr>
      <w:tr>
        <w:trPr>
          <w:tblCellSpacing w:w="15" w:type="dxa"/>
          <w:jc w:val="center"/>
        </w:trPr>
        <w:tc>
          <w:tcPr>
            <w:tcW w:w="26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Perkap Nomor 6 Tahun 2019</w:t>
            </w:r>
          </w:p>
        </w:tc>
        <w:tc>
          <w:tcPr>
            <w:tcW w:w="15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Polri</w:t>
            </w:r>
          </w:p>
        </w:tc>
        <w:tc>
          <w:tcPr>
            <w:tcW w:w="4100" w:type="dxa"/>
            <w:tcBorders>
              <w:top w:val="single" w:sz="4" w:space="0" w:color="auto"/>
              <w:bottom w:val="single" w:sz="4" w:space="0" w:color="auto"/>
            </w:tcBorders>
            <w:vAlign w:val="center"/>
          </w:tcPr>
          <w:p>
            <w:pPr>
              <w:spacing w:before="40" w:after="40" w:line="240" w:lineRule="auto"/>
              <w:jc w:val="left"/>
            </w:pPr>
            <w:r>
              <w:rPr>
                <w:rFonts w:cs="Segoe UI"/>
                <w:sz w:val="18"/>
                <w:szCs w:val="18"/>
              </w:rPr>
              <w:t xml:space="preserve">Tata cara penyelidikan dan penyidikan tindak pidana</w:t>
            </w:r>
          </w:p>
        </w:tc>
      </w:tr>
      <w:tr>
        <w:trPr>
          <w:tblCellSpacing w:w="15" w:type="dxa"/>
          <w:jc w:val="center"/>
        </w:trPr>
        <w:tc>
          <w:tcPr>
            <w:tcW w:w="26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Peraturan Kejaksaan Nomor 15 Tahun 2020</w:t>
            </w:r>
          </w:p>
        </w:tc>
        <w:tc>
          <w:tcPr>
            <w:tcW w:w="15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Kejaksaan</w:t>
            </w:r>
          </w:p>
        </w:tc>
        <w:tc>
          <w:tcPr>
            <w:tcW w:w="4100" w:type="dxa"/>
            <w:tcBorders>
              <w:top w:val="single" w:sz="4" w:space="0" w:color="auto"/>
              <w:bottom w:val="single" w:sz="4" w:space="0" w:color="auto"/>
            </w:tcBorders>
            <w:vAlign w:val="center"/>
          </w:tcPr>
          <w:p>
            <w:pPr>
              <w:spacing w:before="40" w:after="40" w:line="240" w:lineRule="auto"/>
              <w:jc w:val="left"/>
            </w:pPr>
            <w:r>
              <w:rPr>
                <w:rFonts w:cs="Segoe UI"/>
                <w:sz w:val="18"/>
                <w:szCs w:val="18"/>
              </w:rPr>
              <w:t xml:space="preserve">Penghentian penuntutan berdasarkan keadilan restoratif beserta syarat kumulatifnya</w:t>
            </w:r>
          </w:p>
        </w:tc>
      </w:tr>
      <w:tr>
        <w:trPr>
          <w:tblCellSpacing w:w="15" w:type="dxa"/>
          <w:jc w:val="center"/>
        </w:trPr>
        <w:tc>
          <w:tcPr>
            <w:tcW w:w="26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Kepdirjen Badilum Nomor 1691/DJU/SK/PS.00/12/2020</w:t>
            </w:r>
          </w:p>
        </w:tc>
        <w:tc>
          <w:tcPr>
            <w:tcW w:w="15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Mahkamah Agung</w:t>
            </w:r>
          </w:p>
        </w:tc>
        <w:tc>
          <w:tcPr>
            <w:tcW w:w="4100" w:type="dxa"/>
            <w:tcBorders>
              <w:top w:val="single" w:sz="4" w:space="0" w:color="auto"/>
              <w:bottom w:val="single" w:sz="4" w:space="0" w:color="auto"/>
            </w:tcBorders>
            <w:vAlign w:val="center"/>
          </w:tcPr>
          <w:p>
            <w:pPr>
              <w:spacing w:before="40" w:after="40" w:line="240" w:lineRule="auto"/>
              <w:jc w:val="left"/>
            </w:pPr>
            <w:r>
              <w:rPr>
                <w:rFonts w:cs="Segoe UI"/>
                <w:sz w:val="18"/>
                <w:szCs w:val="18"/>
              </w:rPr>
              <w:t xml:space="preserve">Pedoman penerapan keadilan restoratif di lingkungan peradilan umum</w:t>
            </w:r>
          </w:p>
        </w:tc>
      </w:tr>
      <w:tr>
        <w:trPr>
          <w:tblCellSpacing w:w="15" w:type="dxa"/>
          <w:jc w:val="center"/>
        </w:trPr>
        <w:tc>
          <w:tcPr>
            <w:tcW w:w="26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Perpol Nomor 8 Tahun 2021</w:t>
            </w:r>
          </w:p>
        </w:tc>
        <w:tc>
          <w:tcPr>
            <w:tcW w:w="15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Polri</w:t>
            </w:r>
          </w:p>
        </w:tc>
        <w:tc>
          <w:tcPr>
            <w:tcW w:w="4100" w:type="dxa"/>
            <w:tcBorders>
              <w:top w:val="single" w:sz="4" w:space="0" w:color="auto"/>
              <w:bottom w:val="single" w:sz="4" w:space="0" w:color="auto"/>
            </w:tcBorders>
            <w:vAlign w:val="center"/>
          </w:tcPr>
          <w:p>
            <w:pPr>
              <w:spacing w:before="40" w:after="40" w:line="240" w:lineRule="auto"/>
              <w:jc w:val="left"/>
            </w:pPr>
            <w:r>
              <w:rPr>
                <w:rFonts w:cs="Segoe UI"/>
                <w:sz w:val="18"/>
                <w:szCs w:val="18"/>
              </w:rPr>
              <w:t xml:space="preserve">Penanganan tindak pidana berdasarkan keadilan restoratif; syarat materiil, formil, dan syarat khusus</w:t>
            </w:r>
          </w:p>
        </w:tc>
      </w:tr>
      <w:tr>
        <w:trPr>
          <w:tblCellSpacing w:w="15" w:type="dxa"/>
          <w:jc w:val="center"/>
        </w:trPr>
        <w:tc>
          <w:tcPr>
            <w:tcW w:w="26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Pedoman Jaksa Agung Nomor 18 Tahun 2021</w:t>
            </w:r>
          </w:p>
        </w:tc>
        <w:tc>
          <w:tcPr>
            <w:tcW w:w="15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Kejaksaan</w:t>
            </w:r>
          </w:p>
        </w:tc>
        <w:tc>
          <w:tcPr>
            <w:tcW w:w="4100" w:type="dxa"/>
            <w:tcBorders>
              <w:top w:val="single" w:sz="4" w:space="0" w:color="auto"/>
              <w:bottom w:val="single" w:sz="4" w:space="0" w:color="auto"/>
            </w:tcBorders>
            <w:vAlign w:val="center"/>
          </w:tcPr>
          <w:p>
            <w:pPr>
              <w:spacing w:before="40" w:after="40" w:line="240" w:lineRule="auto"/>
              <w:jc w:val="left"/>
            </w:pPr>
            <w:r>
              <w:rPr>
                <w:rFonts w:cs="Segoe UI"/>
                <w:sz w:val="18"/>
                <w:szCs w:val="18"/>
              </w:rPr>
              <w:t xml:space="preserve">Penyelesaian perkara penyalahgunaan narkotika melalui rehabilitasi sebagai pelaksanaan asas dominus litis</w:t>
            </w:r>
          </w:p>
        </w:tc>
      </w:tr>
    </w:tbl>
    <w:p w14:paraId="6608DF7B" w14:textId="160C2C3E" w:rsidR="001E0508" w:rsidRDefault="00985560" w:rsidP="001E0508">
      <w:pPr>
        <w:pStyle w:val="IEEEParagraph"/>
        <w:ind w:firstLine="567"/>
        <w:rPr>
          <w:rFonts w:ascii="Segoe UI" w:hAnsi="Segoe UI" w:cs="Segoe UI"/>
          <w:i/>
          <w:iCs/>
          <w:sz w:val="18"/>
          <w:szCs w:val="18"/>
          <w:lang w:val="sv-SE"/>
        </w:rPr>
      </w:pPr>
      <w:r>
        <w:rPr>
          <w:rFonts w:ascii="Segoe UI" w:hAnsi="Segoe UI" w:cs="Segoe UI"/>
          <w:i/>
          <w:iCs/>
          <w:sz w:val="18"/>
          <w:szCs w:val="18"/>
          <w:lang w:val="sv-SE"/>
        </w:rPr>
        <w:t xml:space="preserve">   Sumber: Diolah penulis dari peraturan perundang-undangan terkait (2026)</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Tabel 1 memperlihatkan bahwa seluruh instrumen yang mengoperasionalkan keadilan restoratif dalam perkara narkotika berada di bawah tingkatan undang-undang dan bersifat internal bagi masing-masing institusi. Konstruksi demikian menimbulkan konsekuensi yuridis yang penting: standar penilaian pada tahap penyidikan, penuntutan, dan pemeriksaan di pengadilan tidak sepenuhnya identik. Peraturan Kejaksaan Nomor 15 Tahun 2020, misalnya, mensyaratkan antara lain bahwa tersangka baru pertama kali melakukan tindak pidana dan ancaman pidananya tidak lebih dari lima tahun, sedangkan Perpol Nomor 8 Tahun 2021 menekankan status pelaku sebagai pengguna dan hasil asesmen terpadu. Jika dikaitkan dengan asas kepastian hukum sebagaimana dikemukakan Radbruch, fragmentasi tersebut merupakan titik lemah yang paling nyata, karena kepastian hukum menghendaki norma yang jelas, tidak menimbulkan multitafsir, dan tidak berbenturan satu sama lain (Rahardjo, 2012).</w:t>
      </w:r>
    </w:p>
    <w:p w14:paraId="554F5361" w14:textId="5C7D14CE" w:rsidR="001C62FB" w:rsidRPr="00955050" w:rsidRDefault="001C62FB" w:rsidP="00955050">
      <w:pPr>
        <w:pStyle w:val="Heading2"/>
        <w:ind w:right="322"/>
        <w:rPr>
          <w:rStyle w:val="mediumtext"/>
        </w:rPr>
      </w:pPr>
      <w:r>
        <w:rPr>
          <w:b/>
          <w:rStyle w:val="mediumtext"/>
        </w:rPr>
        <w:t xml:space="preserve">3.2 Implementasi Keadilan Restoratif di Polres Palopo</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Hasil penelitian di Polres Palopo menunjukkan bahwa penyelesaian perkara narkotika dilakukan melalui dua jalur, yaitu jalur peradilan dan penyelesaian berdasarkan keadilan restoratif. Jalur kedua ditempuh dengan berpedoman pada Peraturan Kepolisian Nomor 8 Tahun 2021, yang mensyaratkan terpenuhinya syarat umum dan syarat khusus sebagaimana dirangkum pada </w:t>
      </w:r>
      <w:r>
        <w:rPr>
          <w:b/>
          <w:rStyle w:val="longtext"/>
          <w:rFonts w:ascii="Segoe UI" w:hAnsi="Segoe UI" w:cs="Segoe UI"/>
          <w:sz w:val="22"/>
          <w:szCs w:val="22"/>
          <w:shd w:val="clear" w:color="auto" w:fill="FFFFFF"/>
          <w:lang w:val="sv-SE"/>
        </w:rPr>
        <w:t xml:space="preserve">Tabel 2</w:t>
      </w:r>
      <w:r>
        <w:rPr>
          <w:rStyle w:val="longtext"/>
          <w:rFonts w:ascii="Segoe UI" w:hAnsi="Segoe UI" w:cs="Segoe UI"/>
          <w:sz w:val="22"/>
          <w:szCs w:val="22"/>
          <w:shd w:val="clear" w:color="auto" w:fill="FFFFFF"/>
          <w:lang w:val="sv-SE"/>
        </w:rPr>
        <w:t xml:space="preserve">.</w:t>
      </w:r>
    </w:p>
    <w:p w14:paraId="7EF45635" w14:textId="0AF9A58F" w:rsidR="006F0069" w:rsidRPr="006F0069" w:rsidRDefault="006F0069" w:rsidP="006F0069">
      <w:pPr>
        <w:tabs>
          <w:tab w:val="left" w:pos="450"/>
        </w:tabs>
        <w:spacing w:before="100" w:beforeAutospacing="1" w:after="100" w:afterAutospacing="1"/>
        <w:contextualSpacing/>
        <w:jc w:val="center"/>
        <w:rPr>
          <w:rFonts w:eastAsia="Constantia" w:cs="Segoe UI"/>
          <w:sz w:val="20"/>
          <w:szCs w:val="20"/>
          <w:lang w:val="en-US"/>
        </w:rPr>
      </w:pPr>
      <w:r>
        <w:rPr>
          <w:rFonts w:eastAsia="Constantia" w:cs="Segoe UI"/>
          <w:b/>
          <w:bCs/>
          <w:sz w:val="20"/>
          <w:szCs w:val="20"/>
          <w:lang w:val="en-US"/>
        </w:rPr>
        <w:t xml:space="preserve">Tabel 2.</w:t>
      </w:r>
      <w:r>
        <w:rPr>
          <w:rFonts w:eastAsia="Constantia" w:cs="Segoe UI"/>
          <w:sz w:val="20"/>
          <w:szCs w:val="20"/>
          <w:lang w:val="en-US"/>
        </w:rPr>
        <w:t xml:space="preserve"> Syarat Penyelesaian Perkara Narkotika Berdasarkan Keadilan Restoratif</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00"/>
        <w:gridCol w:w="1700"/>
        <w:gridCol w:w="4600"/>
      </w:tblGrid>
      <w:tr>
        <w:trPr>
          <w:tblHeader/>
          <w:tblCellSpacing w:w="15" w:type="dxa"/>
          <w:jc w:val="center"/>
        </w:trPr>
        <w:tc>
          <w:tcPr>
            <w:tcW w:w="1900" w:type="dxa"/>
            <w:tcBorders>
              <w:top w:val="single" w:sz="4" w:space="0" w:color="auto"/>
              <w:bottom w:val="single" w:sz="4" w:space="0" w:color="auto"/>
            </w:tcBorders>
            <w:vAlign w:val="center"/>
          </w:tcPr>
          <w:p>
            <w:pPr>
              <w:spacing w:before="40" w:after="40" w:line="240" w:lineRule="auto"/>
              <w:jc w:val="center"/>
            </w:pPr>
            <w:r>
              <w:rPr>
                <w:rFonts w:cs="Segoe UI"/>
                <w:b/>
                <w:bCs/>
                <w:sz w:val="18"/>
                <w:szCs w:val="18"/>
              </w:rPr>
              <w:t xml:space="preserve">Kelompok Syarat</w:t>
            </w:r>
          </w:p>
        </w:tc>
        <w:tc>
          <w:tcPr>
            <w:tcW w:w="1700" w:type="dxa"/>
            <w:tcBorders>
              <w:top w:val="single" w:sz="4" w:space="0" w:color="auto"/>
              <w:bottom w:val="single" w:sz="4" w:space="0" w:color="auto"/>
            </w:tcBorders>
            <w:vAlign w:val="center"/>
          </w:tcPr>
          <w:p>
            <w:pPr>
              <w:spacing w:before="40" w:after="40" w:line="240" w:lineRule="auto"/>
              <w:jc w:val="center"/>
            </w:pPr>
            <w:r>
              <w:rPr>
                <w:rFonts w:cs="Segoe UI"/>
                <w:b/>
                <w:bCs/>
                <w:sz w:val="18"/>
                <w:szCs w:val="18"/>
              </w:rPr>
              <w:t xml:space="preserve">Dasar Hukum</w:t>
            </w:r>
          </w:p>
        </w:tc>
        <w:tc>
          <w:tcPr>
            <w:tcW w:w="4600" w:type="dxa"/>
            <w:tcBorders>
              <w:top w:val="single" w:sz="4" w:space="0" w:color="auto"/>
              <w:bottom w:val="single" w:sz="4" w:space="0" w:color="auto"/>
            </w:tcBorders>
            <w:vAlign w:val="center"/>
          </w:tcPr>
          <w:p>
            <w:pPr>
              <w:spacing w:before="40" w:after="40" w:line="240" w:lineRule="auto"/>
              <w:jc w:val="center"/>
            </w:pPr>
            <w:r>
              <w:rPr>
                <w:rFonts w:cs="Segoe UI"/>
                <w:b/>
                <w:bCs/>
                <w:sz w:val="18"/>
                <w:szCs w:val="18"/>
              </w:rPr>
              <w:t xml:space="preserve">Uraian</w:t>
            </w:r>
          </w:p>
        </w:tc>
      </w:tr>
      <w:tr>
        <w:trPr>
          <w:tblCellSpacing w:w="15" w:type="dxa"/>
          <w:jc w:val="center"/>
        </w:trPr>
        <w:tc>
          <w:tcPr>
            <w:tcW w:w="19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Syarat umum (materiil)</w:t>
            </w:r>
          </w:p>
        </w:tc>
        <w:tc>
          <w:tcPr>
            <w:tcW w:w="17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Pasal 5 Perpol 8/2021</w:t>
            </w:r>
          </w:p>
        </w:tc>
        <w:tc>
          <w:tcPr>
            <w:tcW w:w="4600" w:type="dxa"/>
            <w:tcBorders>
              <w:top w:val="single" w:sz="4" w:space="0" w:color="auto"/>
              <w:bottom w:val="single" w:sz="4" w:space="0" w:color="auto"/>
            </w:tcBorders>
            <w:vAlign w:val="center"/>
          </w:tcPr>
          <w:p>
            <w:pPr>
              <w:spacing w:before="40" w:after="40" w:line="240" w:lineRule="auto"/>
              <w:jc w:val="left"/>
            </w:pPr>
            <w:r>
              <w:rPr>
                <w:rFonts w:cs="Segoe UI"/>
                <w:sz w:val="18"/>
                <w:szCs w:val="18"/>
              </w:rPr>
              <w:t xml:space="preserve">Tidak menimbulkan keresahan dan/atau penolakan masyarakat; tidak berdampak konflik sosial; tidak berpotensi memecah belah bangsa; tidak bersifat radikalisme dan separatisme; bukan pelaku pengulangan tindak pidana berdasarkan putusan pengadilan; bukan tindak pidana terorisme, terhadap keamanan negara, korupsi, dan terhadap nyawa orang</w:t>
            </w:r>
          </w:p>
        </w:tc>
      </w:tr>
      <w:tr>
        <w:trPr>
          <w:tblCellSpacing w:w="15" w:type="dxa"/>
          <w:jc w:val="center"/>
        </w:trPr>
        <w:tc>
          <w:tcPr>
            <w:tcW w:w="19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Syarat khusus</w:t>
            </w:r>
          </w:p>
        </w:tc>
        <w:tc>
          <w:tcPr>
            <w:tcW w:w="17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Pasal 9 Perpol 8/2021</w:t>
            </w:r>
          </w:p>
        </w:tc>
        <w:tc>
          <w:tcPr>
            <w:tcW w:w="4600" w:type="dxa"/>
            <w:tcBorders>
              <w:top w:val="single" w:sz="4" w:space="0" w:color="auto"/>
              <w:bottom w:val="single" w:sz="4" w:space="0" w:color="auto"/>
            </w:tcBorders>
            <w:vAlign w:val="center"/>
          </w:tcPr>
          <w:p>
            <w:pPr>
              <w:spacing w:before="40" w:after="40" w:line="240" w:lineRule="auto"/>
              <w:jc w:val="left"/>
            </w:pPr>
            <w:r>
              <w:rPr>
                <w:rFonts w:cs="Segoe UI"/>
                <w:sz w:val="18"/>
                <w:szCs w:val="18"/>
              </w:rPr>
              <w:t xml:space="preserve">Pecandu atau korban penyalahgunaan narkoba yang mengajukan rehabilitasi; pada saat tertangkap tangan ditemukan barang bukti pemakaian satu hari atau tidak ditemukan barang bukti namun hasil tes urine positif; tidak terlibat jaringan, pengedar, dan/atau bandar; telah dilaksanakan asesmen oleh tim asesmen terpadu; pelaku bersedia bekerja sama dengan penyidik untuk penyelidikan lanjutan</w:t>
            </w:r>
          </w:p>
        </w:tc>
      </w:tr>
      <w:tr>
        <w:trPr>
          <w:tblCellSpacing w:w="15" w:type="dxa"/>
          <w:jc w:val="center"/>
        </w:trPr>
        <w:tc>
          <w:tcPr>
            <w:tcW w:w="19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Batas barang bukti pemakaian satu hari</w:t>
            </w:r>
          </w:p>
        </w:tc>
        <w:tc>
          <w:tcPr>
            <w:tcW w:w="17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SEMA Nomor 4 Tahun 2010</w:t>
            </w:r>
          </w:p>
        </w:tc>
        <w:tc>
          <w:tcPr>
            <w:tcW w:w="4600" w:type="dxa"/>
            <w:tcBorders>
              <w:top w:val="single" w:sz="4" w:space="0" w:color="auto"/>
              <w:bottom w:val="single" w:sz="4" w:space="0" w:color="auto"/>
            </w:tcBorders>
            <w:vAlign w:val="center"/>
          </w:tcPr>
          <w:p>
            <w:pPr>
              <w:spacing w:before="40" w:after="40" w:line="240" w:lineRule="auto"/>
              <w:jc w:val="left"/>
            </w:pPr>
            <w:r>
              <w:rPr>
                <w:rFonts w:cs="Segoe UI"/>
                <w:sz w:val="18"/>
                <w:szCs w:val="18"/>
              </w:rPr>
              <w:t xml:space="preserve">Antara lain sabu maksimal 1 gram, ekstasi maksimal 8 butir, heroin maksimal 1,8 gram, ganja maksimal 5 gram, kelompok LSD maksimal 2 gram, dan kelompok metadon maksimal 0,5 gram</w:t>
            </w:r>
          </w:p>
        </w:tc>
      </w:tr>
    </w:tbl>
    <w:p w14:paraId="6608DF7B" w14:textId="160C2C3E" w:rsidR="001E0508" w:rsidRDefault="00985560" w:rsidP="001E0508">
      <w:pPr>
        <w:pStyle w:val="IEEEParagraph"/>
        <w:ind w:firstLine="567"/>
        <w:rPr>
          <w:rFonts w:ascii="Segoe UI" w:hAnsi="Segoe UI" w:cs="Segoe UI"/>
          <w:i/>
          <w:iCs/>
          <w:sz w:val="18"/>
          <w:szCs w:val="18"/>
          <w:lang w:val="sv-SE"/>
        </w:rPr>
      </w:pPr>
      <w:r>
        <w:rPr>
          <w:rFonts w:ascii="Segoe UI" w:hAnsi="Segoe UI" w:cs="Segoe UI"/>
          <w:i/>
          <w:iCs/>
          <w:sz w:val="18"/>
          <w:szCs w:val="18"/>
          <w:lang w:val="sv-SE"/>
        </w:rPr>
        <w:t xml:space="preserve">   Sumber: Diolah penulis dari Perpol Nomor 8 Tahun 2021 dan SEMA Nomor 4 Tahun 2010 (2026)</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Struktur persyaratan pada Tabel 2 memperlihatkan bahwa keadilan restoratif dalam perkara narkotika bukan mekanisme pemaafan yang longgar. Syarat materiil pada Pasal 5 berfungsi sebagai penyaring pada dimensi sosial-politik, sedangkan syarat khusus pada Pasal 9 berfungsi sebagai penyaring pada dimensi individual, yakni memastikan bahwa yang dipulihkan benar-benar penyalah guna dan bukan bagian dari jaringan peredaran. Batas barang bukti pemakaian satu hari yang ditetapkan Surat Edaran Mahkamah Agung Nomor 4 Tahun 2010 melengkapi penyaringan tersebut dengan ukuran kuantitatif yang terukur, sehingga penilaian penyidik tidak sepenuhnya bergantung pada penafsiran subjektif.</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Mekanisme penyelesaiannya berjalan melalui rangkaian tahapan yang dapat dilacak secara prosedural. Penyidikan diawali dengan penyelidikan sesuai Pasal 6 Peraturan Kepala Kepolisian Nomor 6 Tahun 2019, yang antara lain mengenal pengolahan tempat kejadian perkara, pengamatan, wawancara, pembuntutan, penyamaran, pembelian terselubung, penyerahan di bawah pengawasan, pelacakan, serta penelitian dan analisis dokumen. Tahap berikutnya berupa upaya paksa, pemeriksaan saksi dan tersangka disertai pemeriksaan alat komunikasi untuk memastikan ada tidaknya keterlibatan jaringan, gelar perkara, gelar perkara khusus sebagaimana diatur Pasal 17 Perpol Nomor 8 Tahun 2021, dan berakhir pada penghentian penyidikan menurut Pasal 15 sampai Pasal 18.</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Rangkaian tersebut menunjukkan bahwa penghentian penyidikan berdasarkan keadilan restoratif tidak diberikan di awal proses, melainkan setelah penyidik memperoleh keyakinan yang cukup melalui pemeriksaan tambahan, klarifikasi para pihak, dan gelar perkara khusus yang dihadiri pengawas penyidik, fungsi pengawasan internal, fungsi hukum, serta para pihak dan/atau perwakilan tokoh masyarakat. Pasal 18 bahkan menegaskan kewajiban penyidik untuk memusnahkan barang bukti narkoba dan membebaskan tersangka dengan melampirkan rekomendasi hasil asesmen tim asesmen terpadu. Konstruksi hukum tersebut memperlihatkan bahwa diskresi penyidik dibatasi oleh prosedur yang terdokumentasi dan berlapis.</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Diuji dengan konstruksi itu, penanganan perkara tahun 2022 di Polres Palopo dapat dinilai konsisten dengan norma. Pelaku memperoleh sabu senilai Rp200.000,00 untuk dikonsumsi sendiri, sehingga perbuatannya memenuhi rumusan Pasal 127 ayat (1) huruf a Undang-Undang Nomor 35 Tahun 2009 dan bukan rumusan delik kepemilikan, penguasaan untuk diedarkan, atau perantara jual beli. Penyidik kemudian melakukan penelitian terhadap keadaan sehari-hari, pekerjaan, dan lingkungan pelaku sebelum menempuh penyelesaian restoratif. Menurut analisis penulis, langkah itu merupakan operasionalisasi syarat Pasal 9 huruf c mengenai ketidakterlibatan dalam jaringan, karena keterlibatan jaringan tidak dapat dibuktikan hanya dari jumlah barang bukti, melainkan juga dari pola kehidupan dan relasi sosial pelaku.</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Dengan demikian, implementasi keadilan restoratif dalam penyelesaian perkara narkotika di Polres Palopo telah sesuai dengan ketentuan Peraturan Kepolisian Nomor 8 Tahun 2021, karena penyelesaian tersebut baru ditempuh setelah terpenuhinya syarat umum maupun syarat khusus dan setelah dipastikan bahwa tersangka berkedudukan sebagai pengguna, bukan kurir, bandar, atau residivis.</w:t>
      </w:r>
    </w:p>
    <w:p w14:paraId="554F5361" w14:textId="5C7D14CE" w:rsidR="001C62FB" w:rsidRPr="00955050" w:rsidRDefault="001C62FB" w:rsidP="00955050">
      <w:pPr>
        <w:pStyle w:val="Heading2"/>
        <w:ind w:right="322"/>
        <w:rPr>
          <w:rStyle w:val="mediumtext"/>
        </w:rPr>
      </w:pPr>
      <w:r>
        <w:rPr>
          <w:b/>
          <w:rStyle w:val="mediumtext"/>
        </w:rPr>
        <w:t xml:space="preserve">3.3 Penilaian Yuridis Berdasarkan Teori Tujuan Hukum</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Kesesuaian prosedural belum otomatis berarti kesesuaian dengan tujuan hukum. Karena itu, temuan pada bagian sebelumnya perlu diuji dengan asas prioritas Radbruch yang menempatkan keadilan, kemanfaatan, dan kepastian hukum sebagai tiga nilai dasar yang harus diseimbangkan (Rahardjo, 2012; Tanya dkk., 2013). Dari sisi keadilan, penyelesaian restoratif menempatkan penyalah guna secara proporsional sesuai kedudukannya. Undang-Undang Narkotika sendiri membedakan penyalah guna sebagai subjek yang berhak atas rehabilitasi dari pelaku peredaran gelap. Jika dikaitkan dengan gagasan keadilan proporsional, memperlakukan pengguna murni sama dengan pengedar justru merupakan bentuk ketidakadilan, karena menyamakan dua hal yang secara substansial berbeda (Rawls, 2006).</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Dari sisi kemanfaatan, penyelesaian restoratif memberikan hasil yang lebih besar bagi pelaku maupun masyarakat. Melalui rehabilitasi, penyalah guna memperoleh peluang menghilangkan ketergantungan; sebaliknya, penempatan penyalah guna dalam lembaga pemasyarakatan membuka kemungkinan interaksi langsung dengan bandar dan kurir narkotika, sehingga peluang pemulihan justru mengecil dan risiko pelaku beralih peran menjadi kurir atau pengedar meningkat. Jika dikaitkan dengan pandangan utilitarian yang menilai baik buruknya hukum dari akibat penerapannya, pilihan restoratif lebih dapat dipertanggungjawabkan karena mengurangi penderitaan tanpa menghapus pertanggungjawaban pelaku (Waluyo, 2022).</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Dari sisi kepastian hukum, pelaksanaan penyidikan di Polres Palopo memenuhi asas kepastian karena seluruh tahapannya berpijak pada prosedur yang telah ditentukan, terdokumentasi dalam berita acara, dan dituangkan dalam surat perintah serta surat ketetapan penghentian penyidikan. Namun kepastian hukum pada tataran pelaksanaan ini belum diikuti kepastian pada tataran pengaturan, sebagaimana telah diuraikan pada bagian 3.1. Secara yuridis, temuan tersebut memperlihatkan bahwa keseimbangan tiga nilai dasar Radbruch dalam perkara narkotika di tingkat penyidikan sudah tercapai secara praktis, tetapi masih rapuh secara normatif.</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Ditinjau dari teori pemidanaan, praktik tersebut memperlihatkan pergeseran dari teori absolut yang memandang pemidanaan sebagai pembalasan menuju teori relatif dan teori rehabilitasi yang menempatkan pemulihan pelaku sebagai tujuan (Rivanie dkk., 2022). Pergeseran itu memperoleh penguatan normatif melalui Kitab Undang-Undang Hukum Pidana Nasional yang berlaku sejak 2 Januari 2026, yang mewajibkan hakim mempertimbangkan pedoman pemidanaan dan membuka ruang lebih luas bagi pidana non-penjara. Argumentasi tersebut dapat dipahami karena keadilan restoratif dan pembaruan hukum pidana nasional bertolak dari premis yang sama, yaitu pemenjaraan bukan satu-satunya, dan bukan pula selalu yang terbaik, sarana untuk menegakkan norma.</w:t>
      </w:r>
    </w:p>
    <w:p w14:paraId="554F5361" w14:textId="5C7D14CE" w:rsidR="001C62FB" w:rsidRPr="00955050" w:rsidRDefault="001C62FB" w:rsidP="00955050">
      <w:pPr>
        <w:pStyle w:val="Heading2"/>
        <w:ind w:right="322"/>
        <w:rPr>
          <w:rStyle w:val="mediumtext"/>
        </w:rPr>
      </w:pPr>
      <w:r>
        <w:rPr>
          <w:b/>
          <w:rStyle w:val="mediumtext"/>
        </w:rPr>
        <w:t xml:space="preserve">3.4 Kendala Implementasi Keadilan Restoratif di Polres Palopo</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Berdasarkan keterangan Kepala Satuan Reserse Narkoba Polres Palopo, tidak terdapat kendala dalam penerapan penyelesaian perkara narkotika melalui keadilan restoratif, karena penyidik telah mengikuti persyaratan khusus dalam Pasal 9 Peraturan Kepolisian Nomor 8 Tahun 2021 dan dalam tiga tahun terakhir konsisten menyelesaikan perkara penyalahgunaan narkotika melalui mekanisme tersebut dengan dukungan penuh pimpinan satuan. Temuan tersebut perlu dibaca secara cermat: pernyataan itu menunjuk pada ketiadaan kendala pada tataran normatif-prosedural di tingkat penyidik, bukan pada ketiadaan kendala dalam seluruh ekosistem penegakan hukum.</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Pembacaan tersebut menjadi jelas ketika temuan diuji dengan lima faktor penegakan hukum menurut Soerjono Soekanto (2008), yaitu faktor hukum, penegak hukum, sarana dan prasarana, masyarakat, dan kebudayaan. Hasil pengujian disajikan pada </w:t>
      </w:r>
      <w:r>
        <w:rPr>
          <w:b/>
          <w:rStyle w:val="longtext"/>
          <w:rFonts w:ascii="Segoe UI" w:hAnsi="Segoe UI" w:cs="Segoe UI"/>
          <w:sz w:val="22"/>
          <w:szCs w:val="22"/>
          <w:shd w:val="clear" w:color="auto" w:fill="FFFFFF"/>
          <w:lang w:val="sv-SE"/>
        </w:rPr>
        <w:t xml:space="preserve">Tabel 3</w:t>
      </w:r>
      <w:r>
        <w:rPr>
          <w:rStyle w:val="longtext"/>
          <w:rFonts w:ascii="Segoe UI" w:hAnsi="Segoe UI" w:cs="Segoe UI"/>
          <w:sz w:val="22"/>
          <w:szCs w:val="22"/>
          <w:shd w:val="clear" w:color="auto" w:fill="FFFFFF"/>
          <w:lang w:val="sv-SE"/>
        </w:rPr>
        <w:t xml:space="preserve">.</w:t>
      </w:r>
    </w:p>
    <w:p w14:paraId="7EF45635" w14:textId="0AF9A58F" w:rsidR="006F0069" w:rsidRPr="006F0069" w:rsidRDefault="006F0069" w:rsidP="006F0069">
      <w:pPr>
        <w:tabs>
          <w:tab w:val="left" w:pos="450"/>
        </w:tabs>
        <w:spacing w:before="100" w:beforeAutospacing="1" w:after="100" w:afterAutospacing="1"/>
        <w:contextualSpacing/>
        <w:jc w:val="center"/>
        <w:rPr>
          <w:rFonts w:eastAsia="Constantia" w:cs="Segoe UI"/>
          <w:sz w:val="20"/>
          <w:szCs w:val="20"/>
          <w:lang w:val="en-US"/>
        </w:rPr>
      </w:pPr>
      <w:r>
        <w:rPr>
          <w:rFonts w:eastAsia="Constantia" w:cs="Segoe UI"/>
          <w:b/>
          <w:bCs/>
          <w:sz w:val="20"/>
          <w:szCs w:val="20"/>
          <w:lang w:val="en-US"/>
        </w:rPr>
        <w:t xml:space="preserve">Tabel 3.</w:t>
      </w:r>
      <w:r>
        <w:rPr>
          <w:rFonts w:eastAsia="Constantia" w:cs="Segoe UI"/>
          <w:sz w:val="20"/>
          <w:szCs w:val="20"/>
          <w:lang w:val="en-US"/>
        </w:rPr>
        <w:t xml:space="preserve"> Analisis Faktor Penegakan Hukum pada Implementasi Keadilan Restoratif di Polres Palopo</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700"/>
        <w:gridCol w:w="3400"/>
        <w:gridCol w:w="3100"/>
      </w:tblGrid>
      <w:tr>
        <w:trPr>
          <w:tblHeader/>
          <w:tblCellSpacing w:w="15" w:type="dxa"/>
          <w:jc w:val="center"/>
        </w:trPr>
        <w:tc>
          <w:tcPr>
            <w:tcW w:w="1700" w:type="dxa"/>
            <w:tcBorders>
              <w:top w:val="single" w:sz="4" w:space="0" w:color="auto"/>
              <w:bottom w:val="single" w:sz="4" w:space="0" w:color="auto"/>
            </w:tcBorders>
            <w:vAlign w:val="center"/>
          </w:tcPr>
          <w:p>
            <w:pPr>
              <w:spacing w:before="40" w:after="40" w:line="240" w:lineRule="auto"/>
              <w:jc w:val="center"/>
            </w:pPr>
            <w:r>
              <w:rPr>
                <w:rFonts w:cs="Segoe UI"/>
                <w:b/>
                <w:bCs/>
                <w:sz w:val="18"/>
                <w:szCs w:val="18"/>
              </w:rPr>
              <w:t xml:space="preserve">Faktor</w:t>
            </w:r>
          </w:p>
        </w:tc>
        <w:tc>
          <w:tcPr>
            <w:tcW w:w="3400" w:type="dxa"/>
            <w:tcBorders>
              <w:top w:val="single" w:sz="4" w:space="0" w:color="auto"/>
              <w:bottom w:val="single" w:sz="4" w:space="0" w:color="auto"/>
            </w:tcBorders>
            <w:vAlign w:val="center"/>
          </w:tcPr>
          <w:p>
            <w:pPr>
              <w:spacing w:before="40" w:after="40" w:line="240" w:lineRule="auto"/>
              <w:jc w:val="center"/>
            </w:pPr>
            <w:r>
              <w:rPr>
                <w:rFonts w:cs="Segoe UI"/>
                <w:b/>
                <w:bCs/>
                <w:sz w:val="18"/>
                <w:szCs w:val="18"/>
              </w:rPr>
              <w:t xml:space="preserve">Kondisi di Polres Palopo</w:t>
            </w:r>
          </w:p>
        </w:tc>
        <w:tc>
          <w:tcPr>
            <w:tcW w:w="3100" w:type="dxa"/>
            <w:tcBorders>
              <w:top w:val="single" w:sz="4" w:space="0" w:color="auto"/>
              <w:bottom w:val="single" w:sz="4" w:space="0" w:color="auto"/>
            </w:tcBorders>
            <w:vAlign w:val="center"/>
          </w:tcPr>
          <w:p>
            <w:pPr>
              <w:spacing w:before="40" w:after="40" w:line="240" w:lineRule="auto"/>
              <w:jc w:val="center"/>
            </w:pPr>
            <w:r>
              <w:rPr>
                <w:rFonts w:cs="Segoe UI"/>
                <w:b/>
                <w:bCs/>
                <w:sz w:val="18"/>
                <w:szCs w:val="18"/>
              </w:rPr>
              <w:t xml:space="preserve">Penilaian</w:t>
            </w:r>
          </w:p>
        </w:tc>
      </w:tr>
      <w:tr>
        <w:trPr>
          <w:tblCellSpacing w:w="15" w:type="dxa"/>
          <w:jc w:val="center"/>
        </w:trPr>
        <w:tc>
          <w:tcPr>
            <w:tcW w:w="17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Hukum/peraturan</w:t>
            </w:r>
          </w:p>
        </w:tc>
        <w:tc>
          <w:tcPr>
            <w:tcW w:w="34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Keadilan restoratif hanya diatur pada tingkat peraturan pelaksana masing-masing institusi</w:t>
            </w:r>
          </w:p>
        </w:tc>
        <w:tc>
          <w:tcPr>
            <w:tcW w:w="3100" w:type="dxa"/>
            <w:tcBorders>
              <w:top w:val="single" w:sz="4" w:space="0" w:color="auto"/>
              <w:bottom w:val="single" w:sz="4" w:space="0" w:color="auto"/>
            </w:tcBorders>
            <w:vAlign w:val="center"/>
          </w:tcPr>
          <w:p>
            <w:pPr>
              <w:spacing w:before="40" w:after="40" w:line="240" w:lineRule="auto"/>
              <w:jc w:val="left"/>
            </w:pPr>
            <w:r>
              <w:rPr>
                <w:rFonts w:cs="Segoe UI"/>
                <w:sz w:val="18"/>
                <w:szCs w:val="18"/>
              </w:rPr>
              <w:t xml:space="preserve">Kendala struktural: potensi disparitas antarsubsistem peradilan pidana</w:t>
            </w:r>
          </w:p>
        </w:tc>
      </w:tr>
      <w:tr>
        <w:trPr>
          <w:tblCellSpacing w:w="15" w:type="dxa"/>
          <w:jc w:val="center"/>
        </w:trPr>
        <w:tc>
          <w:tcPr>
            <w:tcW w:w="17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Penegak hukum</w:t>
            </w:r>
          </w:p>
        </w:tc>
        <w:tc>
          <w:tcPr>
            <w:tcW w:w="34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Penyidik konsisten mengacu pada Pasal 9 Perpol 8/2021 dan memperoleh dukungan pimpinan satuan</w:t>
            </w:r>
          </w:p>
        </w:tc>
        <w:tc>
          <w:tcPr>
            <w:tcW w:w="3100" w:type="dxa"/>
            <w:tcBorders>
              <w:top w:val="single" w:sz="4" w:space="0" w:color="auto"/>
              <w:bottom w:val="single" w:sz="4" w:space="0" w:color="auto"/>
            </w:tcBorders>
            <w:vAlign w:val="center"/>
          </w:tcPr>
          <w:p>
            <w:pPr>
              <w:spacing w:before="40" w:after="40" w:line="240" w:lineRule="auto"/>
              <w:jc w:val="left"/>
            </w:pPr>
            <w:r>
              <w:rPr>
                <w:rFonts w:cs="Segoe UI"/>
                <w:sz w:val="18"/>
                <w:szCs w:val="18"/>
              </w:rPr>
              <w:t xml:space="preserve">Tidak menjadi kendala</w:t>
            </w:r>
          </w:p>
        </w:tc>
      </w:tr>
      <w:tr>
        <w:trPr>
          <w:tblCellSpacing w:w="15" w:type="dxa"/>
          <w:jc w:val="center"/>
        </w:trPr>
        <w:tc>
          <w:tcPr>
            <w:tcW w:w="17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Sarana dan prasarana</w:t>
            </w:r>
          </w:p>
        </w:tc>
        <w:tc>
          <w:tcPr>
            <w:tcW w:w="34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Keterbatasan anggaran operasional dan ruang konsultasi bagi pelaku yang menunggu asesmen</w:t>
            </w:r>
          </w:p>
        </w:tc>
        <w:tc>
          <w:tcPr>
            <w:tcW w:w="3100" w:type="dxa"/>
            <w:tcBorders>
              <w:top w:val="single" w:sz="4" w:space="0" w:color="auto"/>
              <w:bottom w:val="single" w:sz="4" w:space="0" w:color="auto"/>
            </w:tcBorders>
            <w:vAlign w:val="center"/>
          </w:tcPr>
          <w:p>
            <w:pPr>
              <w:spacing w:before="40" w:after="40" w:line="240" w:lineRule="auto"/>
              <w:jc w:val="left"/>
            </w:pPr>
            <w:r>
              <w:rPr>
                <w:rFonts w:cs="Segoe UI"/>
                <w:sz w:val="18"/>
                <w:szCs w:val="18"/>
              </w:rPr>
              <w:t xml:space="preserve">Kendala pendukung yang perlu dipenuhi</w:t>
            </w:r>
          </w:p>
        </w:tc>
      </w:tr>
      <w:tr>
        <w:trPr>
          <w:tblCellSpacing w:w="15" w:type="dxa"/>
          <w:jc w:val="center"/>
        </w:trPr>
        <w:tc>
          <w:tcPr>
            <w:tcW w:w="17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Masyarakat</w:t>
            </w:r>
          </w:p>
        </w:tc>
        <w:tc>
          <w:tcPr>
            <w:tcW w:w="34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Pemahaman masyarakat mengenai keadilan restoratif belum merata sehingga mekanisme ini kerap diremehkan</w:t>
            </w:r>
          </w:p>
        </w:tc>
        <w:tc>
          <w:tcPr>
            <w:tcW w:w="3100" w:type="dxa"/>
            <w:tcBorders>
              <w:top w:val="single" w:sz="4" w:space="0" w:color="auto"/>
              <w:bottom w:val="single" w:sz="4" w:space="0" w:color="auto"/>
            </w:tcBorders>
            <w:vAlign w:val="center"/>
          </w:tcPr>
          <w:p>
            <w:pPr>
              <w:spacing w:before="40" w:after="40" w:line="240" w:lineRule="auto"/>
              <w:jc w:val="left"/>
            </w:pPr>
            <w:r>
              <w:rPr>
                <w:rFonts w:cs="Segoe UI"/>
                <w:sz w:val="18"/>
                <w:szCs w:val="18"/>
              </w:rPr>
              <w:t xml:space="preserve">Kendala yang diatasi melalui sosialisasi berkelanjutan</w:t>
            </w:r>
          </w:p>
        </w:tc>
      </w:tr>
      <w:tr>
        <w:trPr>
          <w:tblCellSpacing w:w="15" w:type="dxa"/>
          <w:jc w:val="center"/>
        </w:trPr>
        <w:tc>
          <w:tcPr>
            <w:tcW w:w="17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Kebudayaan</w:t>
            </w:r>
          </w:p>
        </w:tc>
        <w:tc>
          <w:tcPr>
            <w:tcW w:w="3400" w:type="dxa"/>
            <w:tcBorders>
              <w:top w:val="single" w:sz="4" w:space="0" w:color="auto"/>
              <w:bottom w:val="single" w:sz="4" w:space="0" w:color="auto"/>
            </w:tcBorders>
            <w:vAlign w:val="center"/>
          </w:tcPr>
          <w:p>
            <w:pPr>
              <w:spacing w:before="40" w:after="40" w:line="240" w:lineRule="auto"/>
              <w:jc w:val="center"/>
            </w:pPr>
            <w:r>
              <w:rPr>
                <w:rFonts w:cs="Segoe UI"/>
                <w:sz w:val="18"/>
                <w:szCs w:val="18"/>
              </w:rPr>
              <w:t xml:space="preserve">Nilai musyawarah dan pemaafan sejalan dengan karakter keadilan restoratif</w:t>
            </w:r>
          </w:p>
        </w:tc>
        <w:tc>
          <w:tcPr>
            <w:tcW w:w="3100" w:type="dxa"/>
            <w:tcBorders>
              <w:top w:val="single" w:sz="4" w:space="0" w:color="auto"/>
              <w:bottom w:val="single" w:sz="4" w:space="0" w:color="auto"/>
            </w:tcBorders>
            <w:vAlign w:val="center"/>
          </w:tcPr>
          <w:p>
            <w:pPr>
              <w:spacing w:before="40" w:after="40" w:line="240" w:lineRule="auto"/>
              <w:jc w:val="left"/>
            </w:pPr>
            <w:r>
              <w:rPr>
                <w:rFonts w:cs="Segoe UI"/>
                <w:sz w:val="18"/>
                <w:szCs w:val="18"/>
              </w:rPr>
              <w:t xml:space="preserve">Faktor pendukung</w:t>
            </w:r>
          </w:p>
        </w:tc>
      </w:tr>
    </w:tbl>
    <w:p w14:paraId="6608DF7B" w14:textId="160C2C3E" w:rsidR="001E0508" w:rsidRDefault="00985560" w:rsidP="001E0508">
      <w:pPr>
        <w:pStyle w:val="IEEEParagraph"/>
        <w:ind w:firstLine="567"/>
        <w:rPr>
          <w:rFonts w:ascii="Segoe UI" w:hAnsi="Segoe UI" w:cs="Segoe UI"/>
          <w:i/>
          <w:iCs/>
          <w:sz w:val="18"/>
          <w:szCs w:val="18"/>
          <w:lang w:val="sv-SE"/>
        </w:rPr>
      </w:pPr>
      <w:r>
        <w:rPr>
          <w:rFonts w:ascii="Segoe UI" w:hAnsi="Segoe UI" w:cs="Segoe UI"/>
          <w:i/>
          <w:iCs/>
          <w:sz w:val="18"/>
          <w:szCs w:val="18"/>
          <w:lang w:val="sv-SE"/>
        </w:rPr>
        <w:t xml:space="preserve">   Sumber: Diolah penulis dari hasil penelitian di Polres Palopo (2026)</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Tabel 3 memperlihatkan bahwa faktor penegak hukum dan faktor kebudayaan berfungsi sebagai pendukung, sedangkan tiga faktor lainnya masih menyisakan persoalan. Pada faktor hukum, pengaturan keadilan restoratif yang hanya berada pada tingkat peraturan pelaksana menimbulkan keragaman regulasi yang masing-masing berlaku internal, sehingga perlu disusun pengaturan yang lebih rinci dan terkonsolidasi. Pada faktor sarana dan prasarana, keterbatasan anggaran operasional serta belum tersedianya ruang konsultasi yang memadai bagi pelaku yang diamankan selama menunggu pelaksanaan asesmen berpotensi menurunkan kualitas proses. Pada faktor masyarakat, pemahaman yang belum merata membuat mekanisme restoratif kerap diremehkan, sehingga Polres Palopo menempuh sosialisasi mengenai bahaya narkotika dan mekanisme penyelesaiannya.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Menurut analisis penulis, kendala yang tersisa bersifat struktural dan berada di luar kendali penyidik, sehingga tidak menegasikan temuan bahwa pada tataran pelaksanaan penyidikan mekanisme ini berjalan tanpa hambatan berarti. Namun justru karena bersifat struktural, kendala tersebut lebih menentukan keberlanjutan kebijakan dibandingkan kendala teknis. Keberhasilan keadilan restoratif pada akhirnya bergantung pada ketersediaan lembaga rehabilitasi yang mampu menampung penyalah guna yang perkaranya dihentikan; tanpa kapasitas rehabilitasi yang memadai, penghentian penyidikan berisiko berhenti sebagai pembebasan administratif dan kehilangan dimensi pemulihannya.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Implikasi teoretis temuan ini adalah bahwa penilaian atas keberhasilan keadilan restoratif tidak cukup diukur dari kepatuhan prosedural penyidik, melainkan harus mencakup kesiapan seluruh subsistem pendukungnya. Implikasi praktisnya, penguatan keadilan restoratif dalam perkara narkotika menuntut konsolidasi regulasi antarinstitusi, penguatan anggaran dan sarana pada satuan wilayah, serta penyiapan kapasitas balai rehabilitasi secara paralel dengan perluasan penggunaan mekanisme ini.</w:t>
      </w:r>
    </w:p>
    <w:p w14:paraId="34B4D1DB" w14:textId="570FD93D" w:rsidR="001E0508" w:rsidRPr="00354464" w:rsidRDefault="001E0508" w:rsidP="00985560">
      <w:pPr>
        <w:pStyle w:val="IEEEParagraph"/>
        <w:ind w:firstLine="0"/>
        <w:rPr>
          <w:rFonts w:ascii="Segoe UI" w:hAnsi="Segoe UI" w:cs="Segoe UI"/>
          <w:sz w:val="24"/>
          <w:lang w:val="sv-SE"/>
        </w:rPr>
      </w:pPr>
    </w:p>
    <w:p w14:paraId="17E3A12B" w14:textId="5E31EBBF" w:rsidR="001E0508" w:rsidRPr="00EA7E75" w:rsidRDefault="00985560" w:rsidP="00985560">
      <w:pPr>
        <w:pStyle w:val="Heading3"/>
        <w:ind w:left="993" w:hanging="426"/>
      </w:pPr>
      <w:r w:rsidRPr="00EA7E75">
        <w:t>KESIMPULAN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Implementasi keadilan restoratif terhadap tindak pidana penyalahgunaan narkotika di Kepolisian Resor Palopo telah sesuai dengan ketentuan Peraturan Kepolisian Nomor 8 Tahun 2021 tentang Penanganan Tindak Pidana Berdasarkan Keadilan Restoratif. Kesesuaian tersebut terlihat dari penghentian penyidikan yang baru ditempuh setelah terpenuhinya syarat umum dalam Pasal 5 dan syarat khusus dalam Pasal 9, setelah dipastikan bahwa tersangka berkedudukan sebagai pengguna dan bukan kurir, bandar, atau residivis, serta setelah dilaksanakannya asesmen oleh tim asesmen terpadu dan gelar perkara khusus. Mekanisme tersebut meningkatkan efektivitas dan efisiensi penyelesaian perkara narkotika karena penyalah guna dapat menjalani rehabilitasi untuk menghilangkan ketergantungannya, dan dengan tidak menjalani pidana penjara mereka terhindar dari interaksi langsung dengan bandar maupun kurir narkotika di lembaga pemasyarakatan, sehingga peluang pemulihannya menjadi lebih besar.</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Berkenaan dengan kendala, penelitian ini tidak menemukan kendala pada tataran normatif-prosedural di tingkat penyidik, karena Satresnarkoba Polres Palopo dalam tiga tahun terakhir konsisten menyelesaikan perkara penyalahgunaan narkotika secara restoratif dengan berpedoman pada Peraturan Kepolisian Nomor 8 Tahun 2021. Meskipun demikian, pengujian dengan lima faktor penegakan hukum memperlihatkan bahwa kendala yang tersisa bersifat struktural, yaitu pengaturan keadilan restoratif yang masih tersebar pada tingkat peraturan pelaksana masing-masing institusi, keterbatasan anggaran operasional dan sarana pendukung, serta belum meratanya pemahaman masyarakat mengenai mekanisme ini.</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Berdasarkan temuan tersebut, penelitian ini merekomendasikan konsolidasi pengaturan keadilan restoratif dalam perkara narkotika ke dalam instrumen hukum yang lebih tinggi dan berlaku lintas institusi agar standar penilaian pada tahap penyidikan, penuntutan, dan pemeriksaan di pengadilan menjadi seragam, terlebih setelah berlakunya Kitab Undang-Undang Hukum Pidana Nasional. Pada tataran satuan wilayah, Polres Palopo perlu didukung dengan anggaran operasional dan ruang konsultasi yang memadai bagi pelaku yang diamankan selama menunggu pelaksanaan asesmen, sementara kapasitas balai rehabilitasi perlu disiapkan secara paralel agar penghentian penyidikan benar-benar berujung pada pemulihan. Sosialisasi mengenai bahaya narkotika dan mekanisme penyelesaian restoratif juga perlu dilaksanakan secara rutin dan berkelanjutan, khususnya kepada generasi muda, agar mekanisme ini dipahami sebagai sarana pemulihan yang disertai pertanggungjawaban, bukan sebagai bentuk pemaafan tanpa syarat.</w:t>
      </w:r>
    </w:p>
    <w:p w14:paraId="368BEDAF" w14:textId="77777777" w:rsidR="003A4408" w:rsidRPr="001E0508" w:rsidRDefault="003A4408" w:rsidP="003A4408">
      <w:pPr>
        <w:pStyle w:val="IEEEParagraph"/>
        <w:ind w:left="567" w:right="322" w:firstLine="567"/>
        <w:rPr>
          <w:rFonts w:ascii="Segoe UI" w:hAnsi="Segoe UI" w:cs="Segoe UI"/>
          <w:sz w:val="24"/>
          <w:lang w:val="sv-SE"/>
        </w:rPr>
      </w:pP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sidRPr="00EA7E75">
        <w:rPr>
          <w:rFonts w:ascii="Segoe UI" w:hAnsi="Segoe UI" w:cs="Segoe UI"/>
          <w:b/>
          <w:bCs/>
          <w:sz w:val="24"/>
          <w:lang w:val="sv-SE"/>
        </w:rPr>
        <w:t>Referensi</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Akub, S., &amp; Sutiawati. (2018). </w:t>
      </w:r>
      <w:r>
        <w:rPr>
          <w:i/>
          <w:rFonts w:cs="Segoe UI"/>
          <w:noProof/>
        </w:rPr>
        <w:t xml:space="preserve">Keadilan restoratif (restorative justice)</w:t>
      </w:r>
      <w:r>
        <w:rPr>
          <w:rFonts w:cs="Segoe UI"/>
          <w:noProof/>
        </w:rPr>
        <w:t xml:space="preserve">. Litera Crew.</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Antara. (2024). </w:t>
      </w:r>
      <w:r>
        <w:rPr>
          <w:i/>
          <w:rFonts w:cs="Segoe UI"/>
          <w:noProof/>
        </w:rPr>
        <w:t xml:space="preserve">Polda Sulsel ungkap 1.564 kasus narkoba selama Januari–September</w:t>
      </w:r>
      <w:r>
        <w:rPr>
          <w:rFonts w:cs="Segoe UI"/>
          <w:noProof/>
        </w:rPr>
        <w:t xml:space="preserve">. https://www.antaranews.com/berita/3126029</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Arief, H. (2018). Penerapan prinsip restorative justice dalam sistem peradilan pidana Indonesia. </w:t>
      </w:r>
      <w:r>
        <w:rPr>
          <w:i/>
          <w:rFonts w:cs="Segoe UI"/>
          <w:noProof/>
        </w:rPr>
        <w:t xml:space="preserve">Al'Adl: Jurnal Hukum, 10</w:t>
      </w:r>
      <w:r>
        <w:rPr>
          <w:rFonts w:cs="Segoe UI"/>
          <w:noProof/>
        </w:rPr>
        <w:t xml:space="preserve">(2).</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Hatta, M. (2022). </w:t>
      </w:r>
      <w:r>
        <w:rPr>
          <w:i/>
          <w:rFonts w:cs="Segoe UI"/>
          <w:noProof/>
        </w:rPr>
        <w:t xml:space="preserve">Penegakan hukum penyalahguna narkoba di Indonesia</w:t>
      </w:r>
      <w:r>
        <w:rPr>
          <w:rFonts w:cs="Segoe UI"/>
          <w:noProof/>
        </w:rPr>
        <w:t xml:space="preserve">. Kencana.</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Lawalata, J. H., dkk. (2022). Pendekatan restorative justice dalam penyelesaian perkara tindak pidana narkotika pada tahapan penyidikan. </w:t>
      </w:r>
      <w:r>
        <w:rPr>
          <w:i/>
          <w:rFonts w:cs="Segoe UI"/>
          <w:noProof/>
        </w:rPr>
        <w:t xml:space="preserve">TATOHI: Jurnal Ilmu Hukum, 2</w:t>
      </w:r>
      <w:r>
        <w:rPr>
          <w:rFonts w:cs="Segoe UI"/>
          <w:noProof/>
        </w:rPr>
        <w:t xml:space="preserve">(1), 91–112.</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Pakpahan, H. (2015). Restorative justice terhadap pengguna narkotika dan obat-obatan berbahaya. </w:t>
      </w:r>
      <w:r>
        <w:rPr>
          <w:i/>
          <w:rFonts w:cs="Segoe UI"/>
          <w:noProof/>
        </w:rPr>
        <w:t xml:space="preserve">Jurnal Hukum Universitas Merdeka Malang, 6</w:t>
      </w:r>
      <w:r>
        <w:rPr>
          <w:rFonts w:cs="Segoe UI"/>
          <w:noProof/>
        </w:rPr>
        <w:t xml:space="preserve">(2).</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Rahardjo, S. (2012). </w:t>
      </w:r>
      <w:r>
        <w:rPr>
          <w:i/>
          <w:rFonts w:cs="Segoe UI"/>
          <w:noProof/>
        </w:rPr>
        <w:t xml:space="preserve">Ilmu hukum</w:t>
      </w:r>
      <w:r>
        <w:rPr>
          <w:rFonts w:cs="Segoe UI"/>
          <w:noProof/>
        </w:rPr>
        <w:t xml:space="preserve"> (A. Marwan, Ed.). Citra Aditya Bakti.</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Rawls, J. (2006). </w:t>
      </w:r>
      <w:r>
        <w:rPr>
          <w:i/>
          <w:rFonts w:cs="Segoe UI"/>
          <w:noProof/>
        </w:rPr>
        <w:t xml:space="preserve">Teori keadilan</w:t>
      </w:r>
      <w:r>
        <w:rPr>
          <w:rFonts w:cs="Segoe UI"/>
          <w:noProof/>
        </w:rPr>
        <w:t xml:space="preserve"> (U. Fauzan &amp; H. Prasetyo, Penerj.). Pustaka Pelajar. (Karya asli diterbitkan 1971)</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Rivanie, S. S., Muchtar, S., Muin, A. M., Prasetya, A. M. D., &amp; Rizky, A. (2022). Perkembangan teori-teori tujuan pemidanaan. </w:t>
      </w:r>
      <w:r>
        <w:rPr>
          <w:i/>
          <w:rFonts w:cs="Segoe UI"/>
          <w:noProof/>
        </w:rPr>
        <w:t xml:space="preserve">Halu Oleo Legal Research, 6</w:t>
      </w:r>
      <w:r>
        <w:rPr>
          <w:rFonts w:cs="Segoe UI"/>
          <w:noProof/>
        </w:rPr>
        <w:t xml:space="preserve">(2).</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Soekanto, S. (2008). </w:t>
      </w:r>
      <w:r>
        <w:rPr>
          <w:i/>
          <w:rFonts w:cs="Segoe UI"/>
          <w:noProof/>
        </w:rPr>
        <w:t xml:space="preserve">Faktor-faktor yang mempengaruhi penegakan hukum</w:t>
      </w:r>
      <w:r>
        <w:rPr>
          <w:rFonts w:cs="Segoe UI"/>
          <w:noProof/>
        </w:rPr>
        <w:t xml:space="preserve">. Raja Grafindo Persada.</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Tanya, B. L., Simanjuntak, Y. N., &amp; Hage, M. Y. (2013). </w:t>
      </w:r>
      <w:r>
        <w:rPr>
          <w:i/>
          <w:rFonts w:cs="Segoe UI"/>
          <w:noProof/>
        </w:rPr>
        <w:t xml:space="preserve">Teori hukum: Strategi tertib manusia lintas ruang dan generasi</w:t>
      </w:r>
      <w:r>
        <w:rPr>
          <w:rFonts w:cs="Segoe UI"/>
          <w:noProof/>
        </w:rPr>
        <w:t xml:space="preserve">. Genta Publishing.</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Waluyo, B. (2022). </w:t>
      </w:r>
      <w:r>
        <w:rPr>
          <w:i/>
          <w:rFonts w:cs="Segoe UI"/>
          <w:noProof/>
        </w:rPr>
        <w:t xml:space="preserve">Penyelesaian perkara pidana: Penerapan keadilan restoratif dan transformatif</w:t>
      </w:r>
      <w:r>
        <w:rPr>
          <w:rFonts w:cs="Segoe UI"/>
          <w:noProof/>
        </w:rPr>
        <w:t xml:space="preserve">. Sinar Grafika.</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Wibowo, K. T., &amp; Yuni, E. G. (2021). </w:t>
      </w:r>
      <w:r>
        <w:rPr>
          <w:i/>
          <w:rFonts w:cs="Segoe UI"/>
          <w:noProof/>
        </w:rPr>
        <w:t xml:space="preserve">Restorative justice dalam peradilan pidana di Indonesia</w:t>
      </w:r>
      <w:r>
        <w:rPr>
          <w:rFonts w:cs="Segoe UI"/>
          <w:noProof/>
        </w:rPr>
        <w:t xml:space="preserve">. CV Pena Indis.</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Keputusan Direktur Jenderal Badan Peradilan Umum Mahkamah Agung Republik Indonesia Nomor 1691/DJU/SK/PS.00/12/2020 tentang Pemberlakuan Pedoman Penerapan Keadilan Restoratif di Lingkungan Peradilan Umum.</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Pedoman Jaksa Agung Nomor 18 Tahun 2021 tentang Penyelesaian Penanganan Perkara Tindak Pidana Penyalahgunaan Narkotika melalui Rehabilitasi dengan Pendekatan Keadilan Restoratif sebagai Pelaksanaan Asas Dominus Litis Jaksa.</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Peraturan Kejaksaan Republik Indonesia Nomor 15 Tahun 2020 tentang Penghentian Penuntutan Berdasarkan Keadilan Restoratif.</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Peraturan Kepala Kepolisian Negara Republik Indonesia Nomor 6 Tahun 2019 tentang Penyidikan Tindak Pidana.</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Peraturan Kepolisian Negara Republik Indonesia Nomor 8 Tahun 2021 tentang Penanganan Tindak Pidana Berdasarkan Keadilan Restoratif.</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Surat Edaran Kepala Kepolisian Negara Republik Indonesia Nomor SE/8/VII/2018 tentang Penerapan Keadilan Restoratif dalam Penyelesaian Perkara Pidana.</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Surat Edaran Mahkamah Agung Nomor 4 Tahun 2010 tentang Penempatan Penyalahgunaan, Korban Penyalahgunaan dan Pecandu Narkotika ke dalam Lembaga Rehabilitasi Medis dan Rehabilitasi Sosial.</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35 Tahun 2009 tentang Narkotika.</w:t>
      </w:r>
    </w:p>
    <w:p w14:paraId="1C8FFE1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1 Tahun 2023 tentang Kitab Undang-Undang Hukum Pidana.</w:t>
      </w:r>
    </w:p>
    <w:p w14:paraId="5E84CDA2" w14:textId="24799592" w:rsidR="003A4408" w:rsidRPr="003A4408" w:rsidRDefault="003A4408" w:rsidP="003A4408">
      <w:pPr>
        <w:spacing w:line="240" w:lineRule="auto"/>
        <w:ind w:left="1418" w:right="645" w:hanging="851"/>
        <w:rPr>
          <w:rFonts w:cs="Segoe UI"/>
        </w:rPr>
      </w:pPr>
      <w:r>
        <w:rPr>
          <w:rFonts w:cs="Segoe UI"/>
        </w:rPr>
        <w:fldChar w:fldCharType="end"/>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Yulinda Krisnamurti</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