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C4B" w:rsidRPr="005709A2" w:rsidRDefault="00E109A4" w:rsidP="007677D4">
      <w:pPr>
        <w:spacing w:after="0" w:line="240" w:lineRule="auto"/>
        <w:jc w:val="left"/>
        <w:rPr>
          <w:rFonts w:cs="Segoe UI"/>
          <w:i/>
          <w:iCs/>
          <w:sz w:val="20"/>
          <w:szCs w:val="20"/>
          <w:u w:val="single"/>
        </w:rPr>
      </w:pPr>
      <w:r w:rsidRPr="005709A2">
        <w:rPr>
          <w:rFonts w:cs="Segoe UI"/>
          <w:b/>
          <w:noProof/>
          <w:sz w:val="28"/>
          <w:szCs w:val="28"/>
          <w:lang w:val="en-US"/>
        </w:rPr>
        <w:drawing>
          <wp:anchor distT="0" distB="0" distL="114300" distR="114300" simplePos="0" relativeHeight="251666432" behindDoc="1" locked="0" layoutInCell="1" allowOverlap="1">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19175" cy="1130935"/>
                    </a:xfrm>
                    <a:prstGeom prst="rect">
                      <a:avLst/>
                    </a:prstGeom>
                  </pic:spPr>
                </pic:pic>
              </a:graphicData>
            </a:graphic>
          </wp:anchor>
        </w:drawing>
      </w:r>
      <w:r w:rsidRPr="005709A2">
        <w:rPr>
          <w:rFonts w:cs="Segoe UI"/>
          <w:i/>
          <w:iCs/>
          <w:noProof/>
          <w:sz w:val="20"/>
          <w:szCs w:val="20"/>
          <w:u w:val="single"/>
          <w:lang w:val="en-US"/>
        </w:rPr>
        <w:drawing>
          <wp:anchor distT="0" distB="0" distL="114300" distR="114300" simplePos="0" relativeHeight="251665408" behindDoc="0" locked="0" layoutInCell="1" allowOverlap="1">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39800" cy="880110"/>
                    </a:xfrm>
                    <a:prstGeom prst="rect">
                      <a:avLst/>
                    </a:prstGeom>
                  </pic:spPr>
                </pic:pic>
              </a:graphicData>
            </a:graphic>
          </wp:anchor>
        </w:drawing>
      </w:r>
      <w:r w:rsidR="00C459D6" w:rsidRPr="00C459D6">
        <w:rPr>
          <w:rFonts w:cs="Segoe UI"/>
          <w:i/>
          <w:iCs/>
          <w:noProof/>
          <w:sz w:val="20"/>
          <w:szCs w:val="20"/>
          <w:u w:val="single"/>
          <w:lang w:eastAsia="en-IN"/>
        </w:rPr>
        <w:pict>
          <v:line id="Straight Connector 1" o:spid="_x0000_s2051" style="position:absolute;flip:y;z-index:251659264;visibility:visible;mso-position-horizontal-relative:text;mso-position-vertical-relative:text;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w:r>
      <w:hyperlink r:id="rId10" w:history="1">
        <w:r w:rsidR="006F20C0" w:rsidRPr="005709A2">
          <w:rPr>
            <w:rStyle w:val="Hyperlink"/>
            <w:rFonts w:cs="Segoe UI"/>
            <w:i/>
            <w:noProof/>
            <w:sz w:val="16"/>
            <w:szCs w:val="16"/>
            <w:lang w:eastAsia="en-IN"/>
          </w:rPr>
          <w:t>https://ojs.ukipaulus.ac.id/index.php/psnp</w:t>
        </w:r>
      </w:hyperlink>
    </w:p>
    <w:p w:rsidR="00CB3BDB" w:rsidRPr="005709A2" w:rsidRDefault="006F20C0" w:rsidP="00E109A4">
      <w:pPr>
        <w:tabs>
          <w:tab w:val="left" w:pos="612"/>
          <w:tab w:val="center" w:pos="4513"/>
        </w:tabs>
        <w:spacing w:after="0" w:line="240" w:lineRule="auto"/>
        <w:jc w:val="center"/>
        <w:rPr>
          <w:rFonts w:cs="Segoe UI"/>
          <w:b/>
          <w:sz w:val="36"/>
          <w:szCs w:val="28"/>
        </w:rPr>
      </w:pPr>
      <w:r w:rsidRPr="005709A2">
        <w:rPr>
          <w:rFonts w:cs="Segoe UI"/>
          <w:b/>
          <w:sz w:val="36"/>
          <w:szCs w:val="28"/>
        </w:rPr>
        <w:t xml:space="preserve">Seminar Nasional </w:t>
      </w:r>
    </w:p>
    <w:p w:rsidR="006F20C0" w:rsidRPr="005709A2" w:rsidRDefault="006F20C0" w:rsidP="00E109A4">
      <w:pPr>
        <w:tabs>
          <w:tab w:val="left" w:pos="612"/>
          <w:tab w:val="center" w:pos="4513"/>
        </w:tabs>
        <w:spacing w:after="0" w:line="240" w:lineRule="auto"/>
        <w:jc w:val="center"/>
        <w:rPr>
          <w:rFonts w:cs="Segoe UI"/>
          <w:b/>
          <w:sz w:val="36"/>
          <w:szCs w:val="28"/>
        </w:rPr>
      </w:pPr>
      <w:r w:rsidRPr="005709A2">
        <w:rPr>
          <w:rFonts w:cs="Segoe UI"/>
          <w:b/>
          <w:sz w:val="36"/>
          <w:szCs w:val="28"/>
        </w:rPr>
        <w:t>Humanesia</w:t>
      </w:r>
      <w:r w:rsidR="00E109A4" w:rsidRPr="005709A2">
        <w:rPr>
          <w:rFonts w:cs="Segoe UI"/>
          <w:b/>
          <w:sz w:val="36"/>
          <w:szCs w:val="28"/>
        </w:rPr>
        <w:t xml:space="preserve"> Pascasarjana</w:t>
      </w:r>
    </w:p>
    <w:p w:rsidR="00AD7C4B" w:rsidRPr="005709A2" w:rsidRDefault="003A4408" w:rsidP="003A4408">
      <w:pPr>
        <w:spacing w:after="0" w:line="240" w:lineRule="auto"/>
        <w:jc w:val="center"/>
        <w:rPr>
          <w:rFonts w:cs="Segoe UI"/>
          <w:b/>
          <w:sz w:val="16"/>
          <w:szCs w:val="16"/>
        </w:rPr>
      </w:pPr>
      <w:r w:rsidRPr="005709A2">
        <w:rPr>
          <w:rFonts w:cs="Segoe UI"/>
          <w:b/>
          <w:sz w:val="16"/>
          <w:szCs w:val="16"/>
        </w:rPr>
        <w:t xml:space="preserve">(Humaniora, </w:t>
      </w:r>
      <w:r w:rsidR="00886EB8" w:rsidRPr="005709A2">
        <w:rPr>
          <w:rFonts w:cs="Segoe UI"/>
          <w:b/>
          <w:sz w:val="16"/>
          <w:szCs w:val="16"/>
        </w:rPr>
        <w:t>Ekonomi, Bisnis, Manajemen, Hukum dan Sosi</w:t>
      </w:r>
      <w:r w:rsidR="00354464" w:rsidRPr="005709A2">
        <w:rPr>
          <w:rFonts w:cs="Segoe UI"/>
          <w:b/>
          <w:sz w:val="16"/>
          <w:szCs w:val="16"/>
        </w:rPr>
        <w:t>o</w:t>
      </w:r>
      <w:r w:rsidR="00886EB8" w:rsidRPr="005709A2">
        <w:rPr>
          <w:rFonts w:cs="Segoe UI"/>
          <w:b/>
          <w:sz w:val="16"/>
          <w:szCs w:val="16"/>
        </w:rPr>
        <w:t>logi)</w:t>
      </w:r>
    </w:p>
    <w:p w:rsidR="0010607A" w:rsidRPr="005709A2" w:rsidRDefault="00886EB8" w:rsidP="00E109A4">
      <w:pPr>
        <w:spacing w:after="0" w:line="240" w:lineRule="auto"/>
        <w:jc w:val="center"/>
        <w:rPr>
          <w:rFonts w:cs="Segoe UI"/>
          <w:b/>
        </w:rPr>
      </w:pPr>
      <w:r w:rsidRPr="005709A2">
        <w:rPr>
          <w:rFonts w:cs="Segoe UI"/>
          <w:b/>
        </w:rPr>
        <w:t>Universitas Kristen Indonesia Paulus</w:t>
      </w:r>
    </w:p>
    <w:p w:rsidR="007677D4" w:rsidRPr="005709A2" w:rsidRDefault="00886EB8" w:rsidP="00E109A4">
      <w:pPr>
        <w:spacing w:after="0" w:line="240" w:lineRule="auto"/>
        <w:jc w:val="left"/>
        <w:rPr>
          <w:rFonts w:cs="Segoe UI"/>
          <w:b/>
          <w:sz w:val="20"/>
          <w:szCs w:val="20"/>
        </w:rPr>
      </w:pPr>
      <w:r w:rsidRPr="005709A2">
        <w:rPr>
          <w:rFonts w:cs="Segoe UI"/>
          <w:b/>
          <w:sz w:val="20"/>
          <w:szCs w:val="20"/>
        </w:rPr>
        <w:t>Makassar, Indonesia</w:t>
      </w:r>
    </w:p>
    <w:p w:rsidR="001E0508" w:rsidRPr="005709A2" w:rsidRDefault="00C459D6" w:rsidP="007677D4">
      <w:pPr>
        <w:spacing w:after="0" w:line="240" w:lineRule="auto"/>
        <w:jc w:val="left"/>
        <w:rPr>
          <w:rFonts w:cs="Segoe UI"/>
          <w:b/>
          <w:sz w:val="20"/>
          <w:szCs w:val="20"/>
        </w:rPr>
      </w:pPr>
      <w:r w:rsidRPr="00C459D6">
        <w:rPr>
          <w:rFonts w:cs="Segoe UI"/>
          <w:b/>
          <w:noProof/>
          <w:sz w:val="20"/>
          <w:szCs w:val="20"/>
          <w:lang w:eastAsia="en-IN"/>
        </w:rPr>
        <w:pict>
          <v:line id="Straight Connector 5" o:spid="_x0000_s2050" style="position:absolute;flip:y;z-index:251662336;visibility:visible;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w:r>
    </w:p>
    <w:p w:rsidR="00AD7C4B" w:rsidRPr="005709A2" w:rsidRDefault="00AD7C4B" w:rsidP="00D93B53">
      <w:pPr>
        <w:tabs>
          <w:tab w:val="right" w:pos="9026"/>
        </w:tabs>
        <w:spacing w:after="0" w:line="240" w:lineRule="auto"/>
        <w:jc w:val="center"/>
        <w:rPr>
          <w:rFonts w:cs="Segoe UI"/>
          <w:b/>
          <w:bCs/>
          <w:sz w:val="30"/>
          <w:szCs w:val="30"/>
        </w:rPr>
      </w:pPr>
      <w:r w:rsidRPr="005709A2">
        <w:rPr>
          <w:rFonts w:cs="Segoe UI"/>
          <w:b/>
          <w:sz w:val="20"/>
          <w:szCs w:val="20"/>
        </w:rPr>
        <w:tab/>
      </w:r>
    </w:p>
    <w:p w:rsidR="00100027" w:rsidRPr="005709A2" w:rsidRDefault="00D93B53" w:rsidP="00D93B53">
      <w:pPr>
        <w:tabs>
          <w:tab w:val="right" w:pos="9026"/>
        </w:tabs>
        <w:spacing w:after="0" w:line="240" w:lineRule="auto"/>
        <w:jc w:val="center"/>
        <w:rPr>
          <w:rFonts w:cs="Segoe UI"/>
          <w:b/>
          <w:bCs/>
          <w:sz w:val="30"/>
          <w:szCs w:val="30"/>
        </w:rPr>
      </w:pPr>
      <w:r w:rsidRPr="005709A2">
        <w:rPr>
          <w:rFonts w:cs="Segoe UI"/>
          <w:b/>
          <w:bCs/>
          <w:sz w:val="30"/>
          <w:szCs w:val="30"/>
        </w:rPr>
        <w:t xml:space="preserve">Pengaruh </w:t>
      </w:r>
      <w:r w:rsidRPr="005709A2">
        <w:rPr>
          <w:rFonts w:cs="Segoe UI"/>
          <w:b/>
          <w:bCs/>
          <w:i/>
          <w:iCs/>
          <w:sz w:val="30"/>
          <w:szCs w:val="30"/>
        </w:rPr>
        <w:t>Non Performing Loan</w:t>
      </w:r>
      <w:r w:rsidRPr="005709A2">
        <w:rPr>
          <w:rFonts w:cs="Segoe UI"/>
          <w:b/>
          <w:bCs/>
          <w:sz w:val="30"/>
          <w:szCs w:val="30"/>
        </w:rPr>
        <w:t xml:space="preserve"> Terhadap Kinerja Keuangan Pada PT. Bank Pembangunan Daerah Papua (Bank Papua)</w:t>
      </w:r>
    </w:p>
    <w:p w:rsidR="00361A98" w:rsidRPr="005709A2" w:rsidRDefault="00361A98" w:rsidP="00676A1B">
      <w:pPr>
        <w:tabs>
          <w:tab w:val="right" w:pos="9026"/>
        </w:tabs>
        <w:spacing w:after="0" w:line="240" w:lineRule="auto"/>
        <w:rPr>
          <w:rFonts w:cs="Segoe UI"/>
          <w:sz w:val="20"/>
          <w:szCs w:val="20"/>
        </w:rPr>
      </w:pPr>
    </w:p>
    <w:p w:rsidR="00AC334E" w:rsidRPr="005709A2" w:rsidRDefault="00D93B53" w:rsidP="00C00D09">
      <w:pPr>
        <w:tabs>
          <w:tab w:val="right" w:pos="9026"/>
        </w:tabs>
        <w:spacing w:after="0" w:line="240" w:lineRule="auto"/>
        <w:rPr>
          <w:rFonts w:cs="Segoe UI"/>
          <w:b/>
          <w:bCs/>
          <w:sz w:val="24"/>
          <w:szCs w:val="24"/>
        </w:rPr>
      </w:pPr>
      <w:r w:rsidRPr="005709A2">
        <w:rPr>
          <w:rFonts w:cs="Segoe UI"/>
          <w:b/>
          <w:bCs/>
          <w:sz w:val="24"/>
          <w:szCs w:val="24"/>
        </w:rPr>
        <w:t>Vivi Trismawaty Ponganan</w:t>
      </w:r>
    </w:p>
    <w:p w:rsidR="00AC334E" w:rsidRPr="005709A2" w:rsidRDefault="001E0508" w:rsidP="00241D17">
      <w:pPr>
        <w:tabs>
          <w:tab w:val="right" w:pos="9026"/>
        </w:tabs>
        <w:spacing w:after="0" w:line="240" w:lineRule="auto"/>
        <w:rPr>
          <w:rFonts w:cs="Segoe UI"/>
          <w:sz w:val="20"/>
          <w:szCs w:val="20"/>
        </w:rPr>
      </w:pPr>
      <w:r w:rsidRPr="005709A2">
        <w:rPr>
          <w:rFonts w:cs="Segoe UI"/>
          <w:sz w:val="20"/>
          <w:szCs w:val="20"/>
          <w:vertAlign w:val="superscript"/>
        </w:rPr>
        <w:t>1</w:t>
      </w:r>
      <w:r w:rsidR="00FE6D4B" w:rsidRPr="005709A2">
        <w:rPr>
          <w:rFonts w:cs="Segoe UI"/>
          <w:sz w:val="20"/>
          <w:szCs w:val="20"/>
        </w:rPr>
        <w:t>Program Studi Pasca Sarjana Magister Manajemen, Universitas Kristen Indonesia Paulus</w:t>
      </w:r>
      <w:r w:rsidR="006F20C0" w:rsidRPr="005709A2">
        <w:rPr>
          <w:rFonts w:cs="Segoe UI"/>
          <w:sz w:val="20"/>
          <w:szCs w:val="20"/>
        </w:rPr>
        <w:t xml:space="preserve">, </w:t>
      </w:r>
      <w:r w:rsidR="00FE6D4B" w:rsidRPr="005709A2">
        <w:rPr>
          <w:rFonts w:cs="Segoe UI"/>
          <w:sz w:val="20"/>
          <w:szCs w:val="20"/>
        </w:rPr>
        <w:t>Makassar</w:t>
      </w:r>
      <w:r w:rsidR="006F20C0" w:rsidRPr="005709A2">
        <w:rPr>
          <w:rFonts w:cs="Segoe UI"/>
          <w:sz w:val="20"/>
          <w:szCs w:val="20"/>
        </w:rPr>
        <w:t>,</w:t>
      </w:r>
      <w:r w:rsidR="00FE6D4B" w:rsidRPr="005709A2">
        <w:rPr>
          <w:rFonts w:cs="Segoe UI"/>
          <w:sz w:val="20"/>
          <w:szCs w:val="20"/>
        </w:rPr>
        <w:t xml:space="preserve"> Indonesia</w:t>
      </w:r>
    </w:p>
    <w:p w:rsidR="00BE12F5" w:rsidRPr="005709A2" w:rsidRDefault="00C459D6" w:rsidP="00241D17">
      <w:pPr>
        <w:tabs>
          <w:tab w:val="right" w:pos="9026"/>
        </w:tabs>
        <w:spacing w:after="0" w:line="240" w:lineRule="auto"/>
        <w:rPr>
          <w:rFonts w:cs="Segoe UI"/>
          <w:i/>
          <w:sz w:val="18"/>
          <w:szCs w:val="18"/>
        </w:rPr>
      </w:pPr>
      <w:hyperlink r:id="rId11" w:history="1">
        <w:r w:rsidR="006F20C0" w:rsidRPr="005709A2">
          <w:rPr>
            <w:rStyle w:val="Hyperlink"/>
            <w:rFonts w:cs="Segoe UI"/>
            <w:i/>
            <w:sz w:val="18"/>
            <w:szCs w:val="18"/>
          </w:rPr>
          <w:t>korespondensi@email.com</w:t>
        </w:r>
      </w:hyperlink>
      <w:r w:rsidR="001E0508" w:rsidRPr="005709A2">
        <w:rPr>
          <w:rFonts w:cs="Segoe UI"/>
          <w:i/>
          <w:sz w:val="18"/>
          <w:szCs w:val="18"/>
        </w:rPr>
        <w:t xml:space="preserve"> (Korespondensi)</w:t>
      </w:r>
      <w:r w:rsidR="006F20C0" w:rsidRPr="005709A2">
        <w:rPr>
          <w:rFonts w:cs="Segoe UI"/>
          <w:i/>
          <w:sz w:val="18"/>
          <w:szCs w:val="18"/>
        </w:rPr>
        <w:t>*</w:t>
      </w:r>
    </w:p>
    <w:p w:rsidR="006F20C0" w:rsidRPr="005709A2" w:rsidRDefault="006F20C0" w:rsidP="00241D17">
      <w:pPr>
        <w:tabs>
          <w:tab w:val="right" w:pos="9026"/>
        </w:tabs>
        <w:spacing w:after="0" w:line="240" w:lineRule="auto"/>
        <w:rPr>
          <w:rFonts w:cs="Segoe UI"/>
          <w:i/>
          <w:sz w:val="16"/>
          <w:szCs w:val="16"/>
        </w:rPr>
      </w:pPr>
    </w:p>
    <w:tbl>
      <w:tblPr>
        <w:tblW w:w="5000" w:type="pct"/>
        <w:tblBorders>
          <w:top w:val="single" w:sz="4" w:space="0" w:color="auto"/>
          <w:bottom w:val="single" w:sz="4" w:space="0" w:color="auto"/>
        </w:tblBorders>
        <w:tblLook w:val="04A0"/>
      </w:tblPr>
      <w:tblGrid>
        <w:gridCol w:w="2164"/>
        <w:gridCol w:w="7078"/>
      </w:tblGrid>
      <w:tr w:rsidR="00241D17" w:rsidRPr="005709A2" w:rsidTr="00550BFE">
        <w:trPr>
          <w:trHeight w:val="189"/>
        </w:trPr>
        <w:tc>
          <w:tcPr>
            <w:tcW w:w="1171" w:type="pct"/>
            <w:tcBorders>
              <w:top w:val="single" w:sz="4" w:space="0" w:color="auto"/>
              <w:bottom w:val="single" w:sz="4" w:space="0" w:color="auto"/>
            </w:tcBorders>
          </w:tcPr>
          <w:p w:rsidR="00241D17" w:rsidRPr="005709A2"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rsidR="00241D17" w:rsidRPr="005709A2" w:rsidRDefault="00241D17" w:rsidP="00550BFE">
            <w:pPr>
              <w:spacing w:after="0" w:line="240" w:lineRule="auto"/>
              <w:rPr>
                <w:rFonts w:eastAsia="Times New Roman" w:cs="Segoe UI"/>
                <w:b/>
                <w:color w:val="181717"/>
                <w:sz w:val="20"/>
                <w:szCs w:val="20"/>
              </w:rPr>
            </w:pPr>
          </w:p>
        </w:tc>
      </w:tr>
      <w:tr w:rsidR="00241D17" w:rsidRPr="005709A2" w:rsidTr="00550BFE">
        <w:trPr>
          <w:trHeight w:val="1678"/>
        </w:trPr>
        <w:tc>
          <w:tcPr>
            <w:tcW w:w="1171" w:type="pct"/>
            <w:tcBorders>
              <w:top w:val="single" w:sz="4" w:space="0" w:color="auto"/>
              <w:bottom w:val="single" w:sz="4" w:space="0" w:color="auto"/>
            </w:tcBorders>
          </w:tcPr>
          <w:p w:rsidR="00241D17" w:rsidRPr="005709A2" w:rsidRDefault="00241D17" w:rsidP="00417363">
            <w:pPr>
              <w:spacing w:after="0" w:line="240" w:lineRule="auto"/>
              <w:rPr>
                <w:rFonts w:eastAsia="Times New Roman" w:cs="Segoe UI"/>
                <w:b/>
                <w:i/>
                <w:iCs/>
                <w:color w:val="181717"/>
                <w:sz w:val="20"/>
                <w:szCs w:val="20"/>
              </w:rPr>
            </w:pPr>
            <w:r w:rsidRPr="005709A2">
              <w:rPr>
                <w:rFonts w:eastAsia="Times New Roman" w:cs="Segoe UI"/>
                <w:b/>
                <w:i/>
                <w:iCs/>
                <w:color w:val="181717"/>
                <w:sz w:val="20"/>
                <w:szCs w:val="20"/>
              </w:rPr>
              <w:t>Keyword:</w:t>
            </w:r>
          </w:p>
          <w:p w:rsidR="00417363" w:rsidRPr="005709A2" w:rsidRDefault="00D93B53" w:rsidP="00886EB8">
            <w:pPr>
              <w:spacing w:after="0" w:line="240" w:lineRule="auto"/>
              <w:jc w:val="left"/>
              <w:rPr>
                <w:rFonts w:eastAsia="Times New Roman" w:cs="Segoe UI"/>
                <w:i/>
                <w:iCs/>
                <w:color w:val="181717"/>
                <w:sz w:val="20"/>
                <w:szCs w:val="20"/>
              </w:rPr>
            </w:pPr>
            <w:r w:rsidRPr="005709A2">
              <w:rPr>
                <w:rFonts w:eastAsia="Times New Roman" w:cs="Segoe UI"/>
                <w:i/>
                <w:iCs/>
                <w:color w:val="181717"/>
                <w:sz w:val="20"/>
                <w:szCs w:val="20"/>
              </w:rPr>
              <w:t>Non-Performing Loan, Return on Assets, Return on Equity, Net Interest Margin, Financial Performance, Bank Papua, Credit Risk</w:t>
            </w:r>
          </w:p>
          <w:p w:rsidR="001E0508" w:rsidRPr="005709A2" w:rsidRDefault="001E0508" w:rsidP="00417363">
            <w:pPr>
              <w:spacing w:after="0" w:line="240" w:lineRule="auto"/>
              <w:rPr>
                <w:rFonts w:eastAsia="Times New Roman" w:cs="Segoe UI"/>
                <w:b/>
                <w:iCs/>
                <w:color w:val="181717"/>
                <w:sz w:val="20"/>
                <w:szCs w:val="20"/>
              </w:rPr>
            </w:pPr>
          </w:p>
          <w:p w:rsidR="00241D17" w:rsidRPr="005709A2" w:rsidRDefault="00241D17" w:rsidP="00417363">
            <w:pPr>
              <w:spacing w:after="0" w:line="240" w:lineRule="auto"/>
              <w:rPr>
                <w:rFonts w:eastAsia="Times New Roman" w:cs="Segoe UI"/>
                <w:b/>
                <w:iCs/>
                <w:color w:val="181717"/>
                <w:sz w:val="20"/>
                <w:szCs w:val="20"/>
              </w:rPr>
            </w:pPr>
            <w:r w:rsidRPr="005709A2">
              <w:rPr>
                <w:rFonts w:eastAsia="Times New Roman" w:cs="Segoe UI"/>
                <w:b/>
                <w:iCs/>
                <w:color w:val="181717"/>
                <w:sz w:val="20"/>
                <w:szCs w:val="20"/>
              </w:rPr>
              <w:t>Kata Kunci:</w:t>
            </w:r>
          </w:p>
          <w:p w:rsidR="00241D17" w:rsidRPr="005709A2" w:rsidRDefault="00D93B53" w:rsidP="00886EB8">
            <w:pPr>
              <w:spacing w:after="0" w:line="240" w:lineRule="auto"/>
              <w:jc w:val="left"/>
              <w:rPr>
                <w:rFonts w:eastAsia="Times New Roman" w:cs="Segoe UI"/>
                <w:i/>
                <w:color w:val="181717"/>
                <w:sz w:val="20"/>
                <w:szCs w:val="20"/>
              </w:rPr>
            </w:pPr>
            <w:r w:rsidRPr="005709A2">
              <w:rPr>
                <w:rFonts w:eastAsia="Times New Roman" w:cs="Segoe UI"/>
                <w:iCs/>
                <w:color w:val="181717"/>
                <w:sz w:val="20"/>
                <w:szCs w:val="20"/>
              </w:rPr>
              <w:t>Non-Performing Loan, Return on Assets, Return on Equity, Net Interest Margin, Kinerja Keuangan, Bank Papua, Risiko Kredit</w:t>
            </w:r>
          </w:p>
        </w:tc>
        <w:tc>
          <w:tcPr>
            <w:tcW w:w="3829" w:type="pct"/>
            <w:tcBorders>
              <w:top w:val="single" w:sz="4" w:space="0" w:color="auto"/>
              <w:bottom w:val="single" w:sz="4" w:space="0" w:color="auto"/>
            </w:tcBorders>
          </w:tcPr>
          <w:p w:rsidR="00147D80" w:rsidRPr="005709A2" w:rsidRDefault="00241D17" w:rsidP="001E0508">
            <w:pPr>
              <w:spacing w:after="0" w:line="240" w:lineRule="auto"/>
              <w:rPr>
                <w:rStyle w:val="Strong"/>
                <w:rFonts w:cs="Segoe UI"/>
                <w:b w:val="0"/>
                <w:bCs w:val="0"/>
                <w:i/>
                <w:iCs/>
                <w:color w:val="000000"/>
                <w:sz w:val="20"/>
                <w:szCs w:val="20"/>
                <w:shd w:val="clear" w:color="auto" w:fill="FFFFFF"/>
              </w:rPr>
            </w:pPr>
            <w:r w:rsidRPr="005709A2">
              <w:rPr>
                <w:rFonts w:eastAsia="Times New Roman" w:cs="Segoe UI"/>
                <w:b/>
                <w:i/>
                <w:iCs/>
                <w:sz w:val="20"/>
                <w:szCs w:val="20"/>
              </w:rPr>
              <w:t>Abstract:</w:t>
            </w:r>
            <w:r w:rsidR="00D93B53" w:rsidRPr="005709A2">
              <w:rPr>
                <w:rFonts w:cs="Segoe UI"/>
                <w:i/>
                <w:iCs/>
                <w:sz w:val="20"/>
                <w:szCs w:val="20"/>
              </w:rPr>
              <w:t>This study aims to analyze the impact of Non-Performing Loans (NPL) on the financial performance of PT Bank Pembangunan Daerah Papua (Bank Papua) during the 2020–2024 period. Financial performance is measured using Return on Assets (ROA), Return on Equity (ROE), and Net Interest Margin (NIM). The study employs a quantitative method with descriptive and verificative approaches. Secondary data, specifically Bank Papua’s financial statements from 2020 to 2024, were used. The results indicate that NPL has a negative impact on ROA (ROA = 1.890 - 0.045 NPL; R² = 0.095), ROE (ROE = 12.006 - 0.131 NPL; R² = 0.004), and NIM (NIM = 7.654 - 0.387 NPL; R² = 0.491). NPL contributed most significantly to NIM (49.1%), followed by ROA (9.5%), and least to ROE (0.4%). All models demonstrate a negative relationship, consistent with banking risk management theory. However, hypothesis testing reveals that the impact of NPL on ROA (Sig. 0.613), ROE (Sig. 0.917), and NIM (Sig. 0.187) is not statistically significant at the 95% confidence level. This lack of significance is attributed to the limited sample size (N=5). Overall, Bank Papua's financial ratios during the study period fell within the "healthy" category, with average values ​​of 3.07% for Gross NPL, 1.75% for ROA, 11.60% for ROE, and 6.47% for NIM.</w:t>
            </w:r>
          </w:p>
          <w:p w:rsidR="001E0508" w:rsidRPr="005709A2" w:rsidRDefault="001E0508" w:rsidP="001E0508">
            <w:pPr>
              <w:spacing w:after="0" w:line="240" w:lineRule="auto"/>
              <w:rPr>
                <w:rFonts w:eastAsia="Times New Roman" w:cs="Segoe UI"/>
                <w:sz w:val="20"/>
                <w:szCs w:val="20"/>
              </w:rPr>
            </w:pPr>
          </w:p>
          <w:p w:rsidR="00886EB8" w:rsidRPr="005709A2" w:rsidRDefault="00886EB8" w:rsidP="001E0508">
            <w:pPr>
              <w:spacing w:after="0" w:line="240" w:lineRule="auto"/>
              <w:rPr>
                <w:rFonts w:eastAsia="Times New Roman" w:cs="Segoe UI"/>
                <w:b/>
                <w:iCs/>
                <w:sz w:val="20"/>
                <w:szCs w:val="20"/>
              </w:rPr>
            </w:pPr>
          </w:p>
          <w:p w:rsidR="00147D80" w:rsidRPr="005709A2" w:rsidRDefault="00241D17" w:rsidP="00D93B53">
            <w:pPr>
              <w:spacing w:after="0" w:line="240" w:lineRule="auto"/>
              <w:rPr>
                <w:rFonts w:cs="Segoe UI"/>
                <w:sz w:val="20"/>
                <w:szCs w:val="20"/>
              </w:rPr>
            </w:pPr>
            <w:r w:rsidRPr="005709A2">
              <w:rPr>
                <w:rFonts w:eastAsia="Times New Roman" w:cs="Segoe UI"/>
                <w:b/>
                <w:iCs/>
                <w:sz w:val="20"/>
                <w:szCs w:val="20"/>
              </w:rPr>
              <w:t>Abstrak:</w:t>
            </w:r>
            <w:r w:rsidR="00D93B53" w:rsidRPr="005709A2">
              <w:rPr>
                <w:rFonts w:cs="Segoe UI"/>
                <w:color w:val="000000"/>
                <w:sz w:val="20"/>
                <w:szCs w:val="20"/>
                <w:shd w:val="clear" w:color="auto" w:fill="FFFFFF"/>
              </w:rPr>
              <w:t xml:space="preserve">Penelitian ini bertujuan untuk menganalisis pengaruh Non-Performing Loan (NPL) terhadap kinerja keuangan PT Bank Pembangunan Daerah Papua (Bank Papua) periode 2020–2024. Kinerja keuangan diukur menggunakan Return on Assets (ROA), Return on Equity (ROE), dan Net Interest Margin (NIM). Metode penelitian yang digunakan adalah metode kuantitatif dengan pendekatan deskriptif dan verifikatif. Data yang digunakan merupakan data sekunder berupa laporan keuangan Bank Papua periode 2020–2024. Hasil penelitian menunjukkan bahwa NPL memiliki pengaruh negatif terhadap ROA, yakni ROA = 1,890 - 0,045 NPL (R² = 0,095), terhadap ROE dengan persamaan ROE = 12,006 - 0,131 NPL (R² = 0,004), dan terhadap NIM dengan persamaan NIM = 7,654 - 0,387 NPL (R² = 0,491). NPL memberikan kontribusi terbesar terhadap NIM (49,1%), diikuti ROA (9,5%), </w:t>
            </w:r>
            <w:r w:rsidR="00D93B53" w:rsidRPr="005709A2">
              <w:rPr>
                <w:rFonts w:cs="Segoe UI"/>
                <w:color w:val="000000"/>
                <w:sz w:val="20"/>
                <w:szCs w:val="20"/>
                <w:shd w:val="clear" w:color="auto" w:fill="FFFFFF"/>
              </w:rPr>
              <w:lastRenderedPageBreak/>
              <w:t>dan terkecil terhadap ROE (0,4%). Seluruh model menunjukkan arah hubungan negatif yang konsisten dengan teori manajemen risiko perbankan. Namun, hasil uji hipotesis menunjukkan bahwa pengaruh NPL terhadap ROA (Sig. 0,613), ROE (Sig. 0,917), dan NIM (Sig. 0,187) tidak signifikan secara statistik pada tingkat kepercayaan 95%. Ketidaksignifikan ini disebabkan oleh keterbatasan jumlah sampel (N=5). Secara keseluruhan, rasio keuangan Bank Papua selama periode penelitian berada dalam kategori sehat, dengan rata-rata NPL Gross 3,07%, ROA 1,75%, ROE 11,60%, dan NIM 6,47%.</w:t>
            </w:r>
          </w:p>
          <w:p w:rsidR="001E0508" w:rsidRPr="005709A2" w:rsidRDefault="001E0508" w:rsidP="001E0508">
            <w:pPr>
              <w:spacing w:after="0" w:line="240" w:lineRule="auto"/>
              <w:rPr>
                <w:rFonts w:eastAsia="Times New Roman" w:cs="Segoe UI"/>
                <w:iCs/>
                <w:sz w:val="20"/>
                <w:szCs w:val="20"/>
              </w:rPr>
            </w:pPr>
          </w:p>
        </w:tc>
      </w:tr>
      <w:tr w:rsidR="00241D17" w:rsidRPr="005709A2" w:rsidTr="00550BFE">
        <w:trPr>
          <w:trHeight w:val="161"/>
        </w:trPr>
        <w:tc>
          <w:tcPr>
            <w:tcW w:w="5000" w:type="pct"/>
            <w:gridSpan w:val="2"/>
            <w:tcBorders>
              <w:top w:val="single" w:sz="4" w:space="0" w:color="auto"/>
              <w:bottom w:val="single" w:sz="4" w:space="0" w:color="auto"/>
            </w:tcBorders>
          </w:tcPr>
          <w:p w:rsidR="00550BFE" w:rsidRPr="005709A2" w:rsidRDefault="00241D17" w:rsidP="00732CD5">
            <w:pPr>
              <w:spacing w:after="0" w:line="240" w:lineRule="auto"/>
              <w:rPr>
                <w:rFonts w:cs="Segoe UI"/>
                <w:sz w:val="20"/>
                <w:szCs w:val="20"/>
              </w:rPr>
            </w:pPr>
            <w:r w:rsidRPr="005709A2">
              <w:rPr>
                <w:rFonts w:cs="Segoe UI"/>
                <w:b/>
                <w:sz w:val="20"/>
                <w:szCs w:val="20"/>
              </w:rPr>
              <w:lastRenderedPageBreak/>
              <w:t>Informasi Artikel</w:t>
            </w:r>
            <w:r w:rsidRPr="005709A2">
              <w:rPr>
                <w:rFonts w:cs="Segoe UI"/>
                <w:sz w:val="20"/>
                <w:szCs w:val="20"/>
              </w:rPr>
              <w:t xml:space="preserve">:  </w:t>
            </w:r>
            <w:r w:rsidR="00550BFE" w:rsidRPr="005709A2">
              <w:rPr>
                <w:rFonts w:cs="Segoe UI"/>
                <w:sz w:val="20"/>
                <w:szCs w:val="20"/>
              </w:rPr>
              <w:t>Diterima</w:t>
            </w:r>
            <w:r w:rsidRPr="005709A2">
              <w:rPr>
                <w:rFonts w:cs="Segoe UI"/>
                <w:sz w:val="20"/>
                <w:szCs w:val="20"/>
              </w:rPr>
              <w:t xml:space="preserve">: </w:t>
            </w:r>
            <w:r w:rsidR="001E0508" w:rsidRPr="005709A2">
              <w:rPr>
                <w:rFonts w:cs="Segoe UI"/>
                <w:sz w:val="20"/>
                <w:szCs w:val="20"/>
              </w:rPr>
              <w:t>xx</w:t>
            </w:r>
            <w:r w:rsidRPr="005709A2">
              <w:rPr>
                <w:rFonts w:cs="Segoe UI"/>
                <w:sz w:val="20"/>
                <w:szCs w:val="20"/>
              </w:rPr>
              <w:t>-</w:t>
            </w:r>
            <w:r w:rsidR="001E0508" w:rsidRPr="005709A2">
              <w:rPr>
                <w:rFonts w:cs="Segoe UI"/>
                <w:sz w:val="20"/>
                <w:szCs w:val="20"/>
              </w:rPr>
              <w:t>xx</w:t>
            </w:r>
            <w:r w:rsidRPr="005709A2">
              <w:rPr>
                <w:rFonts w:cs="Segoe UI"/>
                <w:sz w:val="20"/>
                <w:szCs w:val="20"/>
              </w:rPr>
              <w:t>-</w:t>
            </w:r>
            <w:r w:rsidR="001E0508" w:rsidRPr="005709A2">
              <w:rPr>
                <w:rFonts w:cs="Segoe UI"/>
                <w:sz w:val="20"/>
                <w:szCs w:val="20"/>
              </w:rPr>
              <w:t>xxxx</w:t>
            </w:r>
            <w:r w:rsidR="00550BFE" w:rsidRPr="005709A2">
              <w:rPr>
                <w:rFonts w:cs="Segoe UI"/>
                <w:sz w:val="20"/>
                <w:szCs w:val="20"/>
              </w:rPr>
              <w:t>, Disetujui</w:t>
            </w:r>
            <w:r w:rsidRPr="005709A2">
              <w:rPr>
                <w:rFonts w:cs="Segoe UI"/>
                <w:sz w:val="20"/>
                <w:szCs w:val="20"/>
              </w:rPr>
              <w:t xml:space="preserve">: </w:t>
            </w:r>
            <w:r w:rsidR="001E0508" w:rsidRPr="005709A2">
              <w:rPr>
                <w:rFonts w:cs="Segoe UI"/>
                <w:sz w:val="20"/>
                <w:szCs w:val="20"/>
              </w:rPr>
              <w:t>xx</w:t>
            </w:r>
            <w:r w:rsidRPr="005709A2">
              <w:rPr>
                <w:rFonts w:cs="Segoe UI"/>
                <w:sz w:val="20"/>
                <w:szCs w:val="20"/>
              </w:rPr>
              <w:t>-</w:t>
            </w:r>
            <w:r w:rsidR="001E0508" w:rsidRPr="005709A2">
              <w:rPr>
                <w:rFonts w:cs="Segoe UI"/>
                <w:sz w:val="20"/>
                <w:szCs w:val="20"/>
              </w:rPr>
              <w:t>xx</w:t>
            </w:r>
            <w:r w:rsidRPr="005709A2">
              <w:rPr>
                <w:rFonts w:cs="Segoe UI"/>
                <w:sz w:val="20"/>
                <w:szCs w:val="20"/>
              </w:rPr>
              <w:t>-</w:t>
            </w:r>
            <w:r w:rsidR="001E0508" w:rsidRPr="005709A2">
              <w:rPr>
                <w:rFonts w:cs="Segoe UI"/>
                <w:sz w:val="20"/>
                <w:szCs w:val="20"/>
              </w:rPr>
              <w:t>xxxx</w:t>
            </w:r>
            <w:r w:rsidRPr="005709A2">
              <w:rPr>
                <w:rFonts w:cs="Segoe UI"/>
                <w:sz w:val="20"/>
                <w:szCs w:val="20"/>
              </w:rPr>
              <w:t>, D</w:t>
            </w:r>
            <w:r w:rsidR="00550BFE" w:rsidRPr="005709A2">
              <w:rPr>
                <w:rFonts w:cs="Segoe UI"/>
                <w:sz w:val="20"/>
                <w:szCs w:val="20"/>
              </w:rPr>
              <w:t>ipublikasikan</w:t>
            </w:r>
            <w:r w:rsidRPr="005709A2">
              <w:rPr>
                <w:rFonts w:cs="Segoe UI"/>
                <w:sz w:val="20"/>
                <w:szCs w:val="20"/>
              </w:rPr>
              <w:t xml:space="preserve">: </w:t>
            </w:r>
            <w:r w:rsidR="001E0508" w:rsidRPr="005709A2">
              <w:rPr>
                <w:rFonts w:cs="Segoe UI"/>
                <w:sz w:val="20"/>
                <w:szCs w:val="20"/>
              </w:rPr>
              <w:t>xx</w:t>
            </w:r>
            <w:r w:rsidRPr="005709A2">
              <w:rPr>
                <w:rFonts w:cs="Segoe UI"/>
                <w:sz w:val="20"/>
                <w:szCs w:val="20"/>
              </w:rPr>
              <w:t>-</w:t>
            </w:r>
            <w:r w:rsidR="001E0508" w:rsidRPr="005709A2">
              <w:rPr>
                <w:rFonts w:cs="Segoe UI"/>
                <w:sz w:val="20"/>
                <w:szCs w:val="20"/>
              </w:rPr>
              <w:t>xx</w:t>
            </w:r>
            <w:r w:rsidRPr="005709A2">
              <w:rPr>
                <w:rFonts w:cs="Segoe UI"/>
                <w:sz w:val="20"/>
                <w:szCs w:val="20"/>
              </w:rPr>
              <w:t>-</w:t>
            </w:r>
            <w:r w:rsidR="001E0508" w:rsidRPr="005709A2">
              <w:rPr>
                <w:rFonts w:cs="Segoe UI"/>
                <w:sz w:val="20"/>
                <w:szCs w:val="20"/>
              </w:rPr>
              <w:t>xxxx</w:t>
            </w:r>
          </w:p>
        </w:tc>
      </w:tr>
    </w:tbl>
    <w:p w:rsidR="005D710E" w:rsidRPr="005709A2" w:rsidRDefault="005D710E" w:rsidP="005B7859">
      <w:pPr>
        <w:spacing w:after="0" w:line="360" w:lineRule="auto"/>
        <w:ind w:right="-29"/>
        <w:rPr>
          <w:rFonts w:cs="Segoe UI"/>
          <w:b/>
          <w:sz w:val="24"/>
          <w:szCs w:val="24"/>
        </w:rPr>
        <w:sectPr w:rsidR="005D710E" w:rsidRPr="005709A2"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rsidR="001E0508" w:rsidRPr="005709A2" w:rsidRDefault="00E02EE7" w:rsidP="00E02EE7">
      <w:pPr>
        <w:pStyle w:val="Heading3"/>
        <w:ind w:firstLine="66"/>
        <w:rPr>
          <w:rFonts w:cs="Segoe UI"/>
          <w:lang w:val="id-ID"/>
        </w:rPr>
      </w:pPr>
      <w:r w:rsidRPr="005709A2">
        <w:rPr>
          <w:rFonts w:cs="Segoe UI"/>
          <w:lang w:val="id-ID"/>
        </w:rPr>
        <w:lastRenderedPageBreak/>
        <w:t>PENDAHULUAN</w:t>
      </w:r>
    </w:p>
    <w:p w:rsidR="0012521E" w:rsidRPr="005709A2" w:rsidRDefault="0012521E" w:rsidP="0012521E">
      <w:pPr>
        <w:pStyle w:val="IEEEParagraph"/>
        <w:ind w:left="567" w:right="322" w:firstLine="567"/>
        <w:rPr>
          <w:rFonts w:ascii="Segoe UI" w:hAnsi="Segoe UI" w:cs="Segoe UI"/>
          <w:sz w:val="22"/>
          <w:szCs w:val="22"/>
          <w:shd w:val="clear" w:color="auto" w:fill="FFFFFF"/>
          <w:lang w:val="id-ID"/>
        </w:rPr>
      </w:pPr>
      <w:r w:rsidRPr="005709A2">
        <w:rPr>
          <w:rFonts w:ascii="Segoe UI" w:hAnsi="Segoe UI" w:cs="Segoe UI"/>
          <w:sz w:val="22"/>
          <w:szCs w:val="22"/>
          <w:shd w:val="clear" w:color="auto" w:fill="FFFFFF"/>
          <w:lang w:val="id-ID"/>
        </w:rPr>
        <w:t xml:space="preserve">Perbankan merupakan sektor yang memiliki peranan penting dalam mendukung pertumbuhan ekonomi nasional melalui fungsi intermediasi, yaitu menghimpun dana masyarakat dan menyalurkannya kembali dalam bentuk kredit kepada sektor produktif. Keberhasilan bank dalam menjalankan fungsi tersebut sangat dipengaruhi oleh kemampuan manajemen dalam mengelola risiko, khususnya risiko kredit. Kinerja keuangan menjadi salah satu indikator utama dalam menilai kesehatan dan keberlanjutan usaha perbankan yang dapat diukur melalui beberapa rasio, antara lain </w:t>
      </w:r>
      <w:r w:rsidRPr="005709A2">
        <w:rPr>
          <w:rFonts w:ascii="Segoe UI" w:hAnsi="Segoe UI" w:cs="Segoe UI"/>
          <w:i/>
          <w:iCs/>
          <w:sz w:val="22"/>
          <w:szCs w:val="22"/>
          <w:shd w:val="clear" w:color="auto" w:fill="FFFFFF"/>
          <w:lang w:val="id-ID"/>
        </w:rPr>
        <w:t>Return on Assets</w:t>
      </w:r>
      <w:r w:rsidRPr="005709A2">
        <w:rPr>
          <w:rFonts w:ascii="Segoe UI" w:hAnsi="Segoe UI" w:cs="Segoe UI"/>
          <w:sz w:val="22"/>
          <w:szCs w:val="22"/>
          <w:shd w:val="clear" w:color="auto" w:fill="FFFFFF"/>
          <w:lang w:val="id-ID"/>
        </w:rPr>
        <w:t xml:space="preserve"> (ROA), </w:t>
      </w:r>
      <w:r w:rsidRPr="005709A2">
        <w:rPr>
          <w:rFonts w:ascii="Segoe UI" w:hAnsi="Segoe UI" w:cs="Segoe UI"/>
          <w:i/>
          <w:iCs/>
          <w:sz w:val="22"/>
          <w:szCs w:val="22"/>
          <w:shd w:val="clear" w:color="auto" w:fill="FFFFFF"/>
          <w:lang w:val="id-ID"/>
        </w:rPr>
        <w:t>Return on Equity</w:t>
      </w:r>
      <w:r w:rsidRPr="005709A2">
        <w:rPr>
          <w:rFonts w:ascii="Segoe UI" w:hAnsi="Segoe UI" w:cs="Segoe UI"/>
          <w:sz w:val="22"/>
          <w:szCs w:val="22"/>
          <w:shd w:val="clear" w:color="auto" w:fill="FFFFFF"/>
          <w:lang w:val="id-ID"/>
        </w:rPr>
        <w:t xml:space="preserve"> (ROE), dan </w:t>
      </w:r>
      <w:r w:rsidRPr="005709A2">
        <w:rPr>
          <w:rFonts w:ascii="Segoe UI" w:hAnsi="Segoe UI" w:cs="Segoe UI"/>
          <w:i/>
          <w:iCs/>
          <w:sz w:val="22"/>
          <w:szCs w:val="22"/>
          <w:shd w:val="clear" w:color="auto" w:fill="FFFFFF"/>
          <w:lang w:val="id-ID"/>
        </w:rPr>
        <w:t>Net Interest Margin</w:t>
      </w:r>
      <w:r w:rsidRPr="005709A2">
        <w:rPr>
          <w:rFonts w:ascii="Segoe UI" w:hAnsi="Segoe UI" w:cs="Segoe UI"/>
          <w:sz w:val="22"/>
          <w:szCs w:val="22"/>
          <w:shd w:val="clear" w:color="auto" w:fill="FFFFFF"/>
          <w:lang w:val="id-ID"/>
        </w:rPr>
        <w:t xml:space="preserve"> (NIM). Selain itu, likuiditas dan permodalan yang tercermin melalui </w:t>
      </w:r>
      <w:r w:rsidRPr="005709A2">
        <w:rPr>
          <w:rFonts w:ascii="Segoe UI" w:hAnsi="Segoe UI" w:cs="Segoe UI"/>
          <w:i/>
          <w:iCs/>
          <w:sz w:val="22"/>
          <w:szCs w:val="22"/>
          <w:shd w:val="clear" w:color="auto" w:fill="FFFFFF"/>
          <w:lang w:val="id-ID"/>
        </w:rPr>
        <w:t>Loan to Deposit Ratio</w:t>
      </w:r>
      <w:r w:rsidRPr="005709A2">
        <w:rPr>
          <w:rFonts w:ascii="Segoe UI" w:hAnsi="Segoe UI" w:cs="Segoe UI"/>
          <w:sz w:val="22"/>
          <w:szCs w:val="22"/>
          <w:shd w:val="clear" w:color="auto" w:fill="FFFFFF"/>
          <w:lang w:val="id-ID"/>
        </w:rPr>
        <w:t xml:space="preserve"> (LDR) dan </w:t>
      </w:r>
      <w:r w:rsidRPr="005709A2">
        <w:rPr>
          <w:rFonts w:ascii="Segoe UI" w:hAnsi="Segoe UI" w:cs="Segoe UI"/>
          <w:i/>
          <w:iCs/>
          <w:sz w:val="22"/>
          <w:szCs w:val="22"/>
          <w:shd w:val="clear" w:color="auto" w:fill="FFFFFF"/>
          <w:lang w:val="id-ID"/>
        </w:rPr>
        <w:t>Capital Adequacy Ratio</w:t>
      </w:r>
      <w:r w:rsidRPr="005709A2">
        <w:rPr>
          <w:rFonts w:ascii="Segoe UI" w:hAnsi="Segoe UI" w:cs="Segoe UI"/>
          <w:sz w:val="22"/>
          <w:szCs w:val="22"/>
          <w:shd w:val="clear" w:color="auto" w:fill="FFFFFF"/>
          <w:lang w:val="id-ID"/>
        </w:rPr>
        <w:t xml:space="preserve"> (CAR) juga menjadi faktor penting dalam menjaga stabilitas dan kemampuan bank dalam menjalankan kegiatan operasionalnya.</w:t>
      </w:r>
    </w:p>
    <w:p w:rsidR="0012521E" w:rsidRPr="005709A2" w:rsidRDefault="0012521E" w:rsidP="0012521E">
      <w:pPr>
        <w:pStyle w:val="IEEEParagraph"/>
        <w:ind w:left="567" w:right="322" w:firstLine="567"/>
        <w:rPr>
          <w:rFonts w:ascii="Segoe UI" w:hAnsi="Segoe UI" w:cs="Segoe UI"/>
          <w:sz w:val="22"/>
          <w:szCs w:val="22"/>
          <w:shd w:val="clear" w:color="auto" w:fill="FFFFFF"/>
          <w:lang w:val="id-ID"/>
        </w:rPr>
      </w:pPr>
      <w:r w:rsidRPr="005709A2">
        <w:rPr>
          <w:rFonts w:ascii="Segoe UI" w:hAnsi="Segoe UI" w:cs="Segoe UI"/>
          <w:sz w:val="22"/>
          <w:szCs w:val="22"/>
          <w:shd w:val="clear" w:color="auto" w:fill="FFFFFF"/>
          <w:lang w:val="id-ID"/>
        </w:rPr>
        <w:t xml:space="preserve">Salah satu risiko utama dalam kegiatan penyaluran kredit adalah risiko gagal bayar yang tercermin dalam rasio </w:t>
      </w:r>
      <w:r w:rsidRPr="005709A2">
        <w:rPr>
          <w:rFonts w:ascii="Segoe UI" w:hAnsi="Segoe UI" w:cs="Segoe UI"/>
          <w:i/>
          <w:iCs/>
          <w:sz w:val="22"/>
          <w:szCs w:val="22"/>
          <w:shd w:val="clear" w:color="auto" w:fill="FFFFFF"/>
          <w:lang w:val="id-ID"/>
        </w:rPr>
        <w:t>Non-Performing Loan</w:t>
      </w:r>
      <w:r w:rsidRPr="005709A2">
        <w:rPr>
          <w:rFonts w:ascii="Segoe UI" w:hAnsi="Segoe UI" w:cs="Segoe UI"/>
          <w:sz w:val="22"/>
          <w:szCs w:val="22"/>
          <w:shd w:val="clear" w:color="auto" w:fill="FFFFFF"/>
          <w:lang w:val="id-ID"/>
        </w:rPr>
        <w:t xml:space="preserve"> (NPL). NPL menunjukkan persentase kredit bermasalah terhadap total kredit yang disalurkan. Semakin tinggi NPL, semakin besar risiko kredit yang harus ditanggung bank, yang dapat meningkatkan biaya pencadangan kerugian kredit, menurunkan pendapatan bunga, dan pada akhirnya berdampak negatif terhadap profitabilitas. Kualitas kredit juga dapat dilihat melalui kolektibilitas kredit yang menggambarkan tingkat kelancaran pembayaran pokok dan bunga oleh debitur. Meningkatnya kredit dalam kategori kurang lancar, diragukan, dan macet menunjukkan penurunan kualitas aset yang berpotensi meningkatkan NPL. Dengan demikian, pengelolaan kualitas kredit menjadi salah satu aspek penting dalam menjaga kinerja keuangan bank.</w:t>
      </w:r>
    </w:p>
    <w:p w:rsidR="0012521E" w:rsidRPr="005709A2" w:rsidRDefault="0012521E" w:rsidP="0012521E">
      <w:pPr>
        <w:pStyle w:val="IEEEParagraph"/>
        <w:ind w:left="567" w:right="322" w:firstLine="567"/>
        <w:rPr>
          <w:rFonts w:ascii="Segoe UI" w:hAnsi="Segoe UI" w:cs="Segoe UI"/>
          <w:sz w:val="22"/>
          <w:szCs w:val="22"/>
          <w:shd w:val="clear" w:color="auto" w:fill="FFFFFF"/>
          <w:lang w:val="id-ID"/>
        </w:rPr>
      </w:pPr>
      <w:r w:rsidRPr="005709A2">
        <w:rPr>
          <w:rFonts w:ascii="Segoe UI" w:hAnsi="Segoe UI" w:cs="Segoe UI"/>
          <w:sz w:val="22"/>
          <w:szCs w:val="22"/>
          <w:shd w:val="clear" w:color="auto" w:fill="FFFFFF"/>
          <w:lang w:val="id-ID"/>
        </w:rPr>
        <w:t xml:space="preserve">PT Bank Pembangunan Daerah Papua sebagai salah satu bank pembangunan daerah memiliki peran strategis dalam mendukung aktivitas ekonomi di wilayah Papua melalui penyaluran kredit kepada masyarakat, pelaku usaha, dan pemerintah daerah. Berdasarkan laporan keuangan periode 2020–2024, rasio NPL </w:t>
      </w:r>
      <w:r w:rsidRPr="005709A2">
        <w:rPr>
          <w:rFonts w:ascii="Segoe UI" w:hAnsi="Segoe UI" w:cs="Segoe UI"/>
          <w:i/>
          <w:iCs/>
          <w:sz w:val="22"/>
          <w:szCs w:val="22"/>
          <w:shd w:val="clear" w:color="auto" w:fill="FFFFFF"/>
          <w:lang w:val="id-ID"/>
        </w:rPr>
        <w:t>Gross</w:t>
      </w:r>
      <w:r w:rsidRPr="005709A2">
        <w:rPr>
          <w:rFonts w:ascii="Segoe UI" w:hAnsi="Segoe UI" w:cs="Segoe UI"/>
          <w:sz w:val="22"/>
          <w:szCs w:val="22"/>
          <w:shd w:val="clear" w:color="auto" w:fill="FFFFFF"/>
          <w:lang w:val="id-ID"/>
        </w:rPr>
        <w:t xml:space="preserve"> Bank Papua menunjukkan tren penurunan dari sekitar 4,17% pada tahun 2020 menjadi sekitar 2,33% pada tahun 2024. Kondisi tersebut mengindikasikan adanya perbaikan kualitas kredit dan pengelolaan risiko kredit. Namun, perbaikan NPL tersebut belum sepenuhnya diikuti oleh perkembangan profitabilitas yang konsisten. ROA mengalami fluktuasi dari 1,67% pada tahun 2020 menjadi 1,89% pada tahun 2024, sementara ROE berada pada kisaran 10%–11% dan NIM menunjukkan kecenderungan meningkat. Di sisi lain, LDR mengalami perubahan seiring dengan perkembangan penyaluran kredit dan penghimpunan dana pihak ketiga, sedangkan CAR tetap berada di atas ketentuan minimum regulator. Fenomena tersebut menunjukkan adanya dinamika antara kualitas kredit dan kinerja keuangan Bank Papua.</w:t>
      </w:r>
    </w:p>
    <w:p w:rsidR="0012521E" w:rsidRPr="005709A2" w:rsidRDefault="0012521E" w:rsidP="0012521E">
      <w:pPr>
        <w:pStyle w:val="IEEEParagraph"/>
        <w:ind w:left="567" w:right="322" w:firstLine="567"/>
        <w:rPr>
          <w:rFonts w:ascii="Segoe UI" w:hAnsi="Segoe UI" w:cs="Segoe UI"/>
          <w:sz w:val="22"/>
          <w:szCs w:val="22"/>
          <w:shd w:val="clear" w:color="auto" w:fill="FFFFFF"/>
          <w:lang w:val="id-ID"/>
        </w:rPr>
      </w:pPr>
      <w:r w:rsidRPr="005709A2">
        <w:rPr>
          <w:rFonts w:ascii="Segoe UI" w:hAnsi="Segoe UI" w:cs="Segoe UI"/>
          <w:sz w:val="22"/>
          <w:szCs w:val="22"/>
          <w:shd w:val="clear" w:color="auto" w:fill="FFFFFF"/>
          <w:lang w:val="id-ID"/>
        </w:rPr>
        <w:t xml:space="preserve">Berdasarkan fenomena tersebut, penurunan NPL yang secara teoritis seharusnya mendorong peningkatan profitabilitas belum menunjukkan pola yang sepenuhnya konsisten pada Bank Papua selama periode 2020–2024. Kondisi ini menjadi menarik untuk dikaji guna </w:t>
      </w:r>
      <w:r w:rsidRPr="005709A2">
        <w:rPr>
          <w:rFonts w:ascii="Segoe UI" w:hAnsi="Segoe UI" w:cs="Segoe UI"/>
          <w:sz w:val="22"/>
          <w:szCs w:val="22"/>
          <w:shd w:val="clear" w:color="auto" w:fill="FFFFFF"/>
          <w:lang w:val="id-ID"/>
        </w:rPr>
        <w:lastRenderedPageBreak/>
        <w:t xml:space="preserve">mengetahui sejauh mana risiko kredit yang diukur melalui NPL berpengaruh terhadap kinerja keuangan bank yang tercermin dalam ROA, ROE, dan NIM. Penelitian mengenai pengaruh </w:t>
      </w:r>
      <w:r w:rsidRPr="005709A2">
        <w:rPr>
          <w:rFonts w:ascii="Segoe UI" w:hAnsi="Segoe UI" w:cs="Segoe UI"/>
          <w:i/>
          <w:iCs/>
          <w:sz w:val="22"/>
          <w:szCs w:val="22"/>
          <w:shd w:val="clear" w:color="auto" w:fill="FFFFFF"/>
          <w:lang w:val="id-ID"/>
        </w:rPr>
        <w:t>Non-Performing Loan</w:t>
      </w:r>
      <w:r w:rsidRPr="005709A2">
        <w:rPr>
          <w:rFonts w:ascii="Segoe UI" w:hAnsi="Segoe UI" w:cs="Segoe UI"/>
          <w:sz w:val="22"/>
          <w:szCs w:val="22"/>
          <w:shd w:val="clear" w:color="auto" w:fill="FFFFFF"/>
          <w:lang w:val="id-ID"/>
        </w:rPr>
        <w:t xml:space="preserve"> (NPL) terhadap kinerja keuangan PT Bank Pembangunan Daerah Papua periode 2020–2024 diharapkan dapat memberikan gambaran empiris mengenai hubungan risiko kredit dengan profitabilitas serta menjadi bahan evaluasi bagi manajemen dalam meningkatkan kualitas kredit, menjaga stabilitas keuangan, dan meningkatkan kinerja perusahaan secara berkelanjutan.</w:t>
      </w:r>
    </w:p>
    <w:p w:rsidR="0012521E" w:rsidRPr="005709A2" w:rsidRDefault="0012521E" w:rsidP="00955050">
      <w:pPr>
        <w:pStyle w:val="IEEEParagraph"/>
        <w:ind w:left="567" w:right="322" w:firstLine="567"/>
        <w:rPr>
          <w:rStyle w:val="longtext"/>
          <w:rFonts w:ascii="Segoe UI" w:hAnsi="Segoe UI" w:cs="Segoe UI"/>
          <w:sz w:val="22"/>
          <w:szCs w:val="22"/>
          <w:shd w:val="clear" w:color="auto" w:fill="FFFFFF"/>
          <w:lang w:val="id-ID"/>
        </w:rPr>
      </w:pPr>
    </w:p>
    <w:p w:rsidR="001E0508" w:rsidRPr="005709A2" w:rsidRDefault="001C62FB" w:rsidP="00955050">
      <w:pPr>
        <w:pStyle w:val="Heading3"/>
        <w:ind w:left="1134" w:right="322" w:hanging="425"/>
        <w:rPr>
          <w:rFonts w:cs="Segoe UI"/>
          <w:lang w:val="id-ID"/>
        </w:rPr>
      </w:pPr>
      <w:r w:rsidRPr="005709A2">
        <w:rPr>
          <w:rFonts w:cs="Segoe UI"/>
          <w:lang w:val="id-ID"/>
        </w:rPr>
        <w:t>METODOLOGI PENELITIAN</w:t>
      </w:r>
    </w:p>
    <w:p w:rsidR="001C62FB" w:rsidRPr="005709A2" w:rsidRDefault="001C62FB" w:rsidP="00955050">
      <w:pPr>
        <w:pStyle w:val="Heading2"/>
        <w:ind w:right="322"/>
        <w:rPr>
          <w:rStyle w:val="mediumtext"/>
          <w:rFonts w:cs="Segoe UI"/>
          <w:sz w:val="22"/>
          <w:szCs w:val="22"/>
        </w:rPr>
      </w:pPr>
      <w:r w:rsidRPr="005709A2">
        <w:rPr>
          <w:rStyle w:val="mediumtext"/>
          <w:rFonts w:cs="Segoe UI"/>
          <w:sz w:val="22"/>
          <w:szCs w:val="22"/>
        </w:rPr>
        <w:t>2.1 Desain Penelitian</w:t>
      </w:r>
    </w:p>
    <w:p w:rsidR="001C62FB" w:rsidRPr="005709A2" w:rsidRDefault="0012521E" w:rsidP="00955050">
      <w:pPr>
        <w:pStyle w:val="IEEEParagraph"/>
        <w:tabs>
          <w:tab w:val="left" w:pos="9356"/>
        </w:tabs>
        <w:ind w:left="567" w:right="322" w:firstLine="567"/>
        <w:rPr>
          <w:rStyle w:val="mediumtext"/>
          <w:rFonts w:ascii="Segoe UI" w:hAnsi="Segoe UI" w:cs="Segoe UI"/>
          <w:sz w:val="22"/>
          <w:szCs w:val="22"/>
          <w:lang w:val="id-ID"/>
        </w:rPr>
      </w:pPr>
      <w:r w:rsidRPr="005709A2">
        <w:rPr>
          <w:rFonts w:ascii="Segoe UI" w:hAnsi="Segoe UI" w:cs="Segoe UI"/>
          <w:sz w:val="22"/>
          <w:szCs w:val="22"/>
          <w:lang w:val="id-ID"/>
        </w:rPr>
        <w:t xml:space="preserve">Penelitian ini menggunakan pendekatan kuantitatif dengan jenis penelitian asosiatif untuk menganalisis pengaruh </w:t>
      </w:r>
      <w:r w:rsidRPr="005709A2">
        <w:rPr>
          <w:rFonts w:ascii="Segoe UI" w:hAnsi="Segoe UI" w:cs="Segoe UI"/>
          <w:i/>
          <w:iCs/>
          <w:sz w:val="22"/>
          <w:szCs w:val="22"/>
          <w:lang w:val="id-ID"/>
        </w:rPr>
        <w:t>Non-Performing Loan</w:t>
      </w:r>
      <w:r w:rsidRPr="005709A2">
        <w:rPr>
          <w:rFonts w:ascii="Segoe UI" w:hAnsi="Segoe UI" w:cs="Segoe UI"/>
          <w:sz w:val="22"/>
          <w:szCs w:val="22"/>
          <w:lang w:val="id-ID"/>
        </w:rPr>
        <w:t xml:space="preserve"> (NPL) terhadap kinerja keuangan PT Bank Pembangunan Daerah Papua periode 2020–2024. Pendekatan ini dipilih karena penelitian menggunakan data berbentuk angka dan bertujuan menguji hubungan antara variabel NPL dengan kinerja keuangan bank.</w:t>
      </w:r>
    </w:p>
    <w:p w:rsidR="001C62FB" w:rsidRPr="005709A2" w:rsidRDefault="001C62FB" w:rsidP="00955050">
      <w:pPr>
        <w:pStyle w:val="IEEEParagraph"/>
        <w:tabs>
          <w:tab w:val="left" w:pos="9356"/>
        </w:tabs>
        <w:ind w:left="567" w:right="322" w:firstLine="567"/>
        <w:rPr>
          <w:rStyle w:val="mediumtext"/>
          <w:rFonts w:ascii="Segoe UI" w:hAnsi="Segoe UI" w:cs="Segoe UI"/>
          <w:sz w:val="22"/>
          <w:szCs w:val="22"/>
          <w:lang w:val="id-ID"/>
        </w:rPr>
      </w:pPr>
    </w:p>
    <w:p w:rsidR="00955050" w:rsidRPr="005709A2" w:rsidRDefault="00955050" w:rsidP="00955050">
      <w:pPr>
        <w:pStyle w:val="Heading2"/>
        <w:tabs>
          <w:tab w:val="left" w:pos="9356"/>
        </w:tabs>
        <w:ind w:right="322"/>
        <w:rPr>
          <w:rStyle w:val="mediumtext"/>
          <w:rFonts w:cs="Segoe UI"/>
          <w:sz w:val="22"/>
          <w:szCs w:val="22"/>
        </w:rPr>
      </w:pPr>
      <w:r w:rsidRPr="005709A2">
        <w:rPr>
          <w:rStyle w:val="mediumtext"/>
          <w:rFonts w:cs="Segoe UI"/>
          <w:sz w:val="22"/>
          <w:szCs w:val="22"/>
        </w:rPr>
        <w:t>2.2 Populasi dan Sampel</w:t>
      </w:r>
    </w:p>
    <w:p w:rsidR="001C62FB" w:rsidRPr="005709A2" w:rsidRDefault="0012521E" w:rsidP="00955050">
      <w:pPr>
        <w:pStyle w:val="IEEEParagraph"/>
        <w:tabs>
          <w:tab w:val="left" w:pos="9356"/>
        </w:tabs>
        <w:ind w:left="567" w:right="322" w:firstLine="567"/>
        <w:rPr>
          <w:rStyle w:val="mediumtext"/>
          <w:rFonts w:ascii="Segoe UI" w:hAnsi="Segoe UI" w:cs="Segoe UI"/>
          <w:sz w:val="22"/>
          <w:szCs w:val="22"/>
          <w:lang w:val="id-ID"/>
        </w:rPr>
      </w:pPr>
      <w:r w:rsidRPr="005709A2">
        <w:rPr>
          <w:rFonts w:ascii="Segoe UI" w:hAnsi="Segoe UI" w:cs="Segoe UI"/>
          <w:sz w:val="22"/>
          <w:szCs w:val="22"/>
          <w:lang w:val="id-ID"/>
        </w:rPr>
        <w:t xml:space="preserve">Populasi penelitian adalah seluruh laporan keuangan PT Bank Pembangunan Daerah Papua, sedangkan sampel penelitian berupa laporan keuangan tahunan Bank Papua periode 2020–2024. Pemilihan sampel dilakukan dengan teknik </w:t>
      </w:r>
      <w:r w:rsidRPr="005709A2">
        <w:rPr>
          <w:rFonts w:ascii="Segoe UI" w:hAnsi="Segoe UI" w:cs="Segoe UI"/>
          <w:i/>
          <w:iCs/>
          <w:sz w:val="22"/>
          <w:szCs w:val="22"/>
          <w:lang w:val="id-ID"/>
        </w:rPr>
        <w:t>purposive sampling</w:t>
      </w:r>
      <w:r w:rsidRPr="005709A2">
        <w:rPr>
          <w:rFonts w:ascii="Segoe UI" w:hAnsi="Segoe UI" w:cs="Segoe UI"/>
          <w:sz w:val="22"/>
          <w:szCs w:val="22"/>
          <w:lang w:val="id-ID"/>
        </w:rPr>
        <w:t xml:space="preserve"> berdasarkan ketersediaan dan kelengkapan data yang diperlukan dalam penelitian.</w:t>
      </w:r>
    </w:p>
    <w:p w:rsidR="00955050" w:rsidRPr="005709A2" w:rsidRDefault="00955050" w:rsidP="00955050">
      <w:pPr>
        <w:pStyle w:val="IEEEParagraph"/>
        <w:tabs>
          <w:tab w:val="left" w:pos="9356"/>
        </w:tabs>
        <w:ind w:left="567" w:right="322" w:firstLine="567"/>
        <w:rPr>
          <w:rStyle w:val="mediumtext"/>
          <w:rFonts w:ascii="Segoe UI" w:hAnsi="Segoe UI" w:cs="Segoe UI"/>
          <w:sz w:val="22"/>
          <w:szCs w:val="22"/>
          <w:lang w:val="id-ID"/>
        </w:rPr>
      </w:pPr>
    </w:p>
    <w:p w:rsidR="00955050" w:rsidRPr="005709A2" w:rsidRDefault="00955050" w:rsidP="00955050">
      <w:pPr>
        <w:pStyle w:val="Heading2"/>
        <w:tabs>
          <w:tab w:val="left" w:pos="9356"/>
        </w:tabs>
        <w:ind w:right="322"/>
        <w:rPr>
          <w:rStyle w:val="mediumtext"/>
          <w:rFonts w:cs="Segoe UI"/>
          <w:sz w:val="22"/>
          <w:szCs w:val="22"/>
        </w:rPr>
      </w:pPr>
      <w:r w:rsidRPr="005709A2">
        <w:rPr>
          <w:rStyle w:val="mediumtext"/>
          <w:rFonts w:cs="Segoe UI"/>
          <w:sz w:val="22"/>
          <w:szCs w:val="22"/>
        </w:rPr>
        <w:t>2.3 Teknik Pengumpulan Data</w:t>
      </w:r>
    </w:p>
    <w:p w:rsidR="001C62FB" w:rsidRPr="005709A2" w:rsidRDefault="0012521E" w:rsidP="00955050">
      <w:pPr>
        <w:pStyle w:val="IEEEParagraph"/>
        <w:tabs>
          <w:tab w:val="left" w:pos="9356"/>
        </w:tabs>
        <w:ind w:left="567" w:right="322" w:firstLine="567"/>
        <w:rPr>
          <w:rStyle w:val="mediumtext"/>
          <w:rFonts w:ascii="Segoe UI" w:hAnsi="Segoe UI" w:cs="Segoe UI"/>
          <w:sz w:val="22"/>
          <w:szCs w:val="22"/>
          <w:lang w:val="id-ID"/>
        </w:rPr>
      </w:pPr>
      <w:r w:rsidRPr="005709A2">
        <w:rPr>
          <w:rFonts w:ascii="Segoe UI" w:hAnsi="Segoe UI" w:cs="Segoe UI"/>
          <w:sz w:val="22"/>
          <w:szCs w:val="22"/>
          <w:lang w:val="id-ID"/>
        </w:rPr>
        <w:t>Data yang digunakan merupakan data sekunder yang diperoleh melalui dokumentasi laporan keuangan tahunan PT Bank Pembangunan Daerah Papua periode 2020–2024 dan studi pustaka dari buku, jurnal ilmiah, penelitian terdahulu, serta sumber relevan lainnya. Data yang dikumpulkan meliputi NPL, ROA, ROE, dan NIM.</w:t>
      </w:r>
    </w:p>
    <w:p w:rsidR="001C62FB" w:rsidRPr="005709A2" w:rsidRDefault="001C62FB" w:rsidP="00955050">
      <w:pPr>
        <w:pStyle w:val="IEEEParagraph"/>
        <w:tabs>
          <w:tab w:val="left" w:pos="9356"/>
        </w:tabs>
        <w:ind w:left="567" w:right="322" w:firstLine="567"/>
        <w:rPr>
          <w:rStyle w:val="mediumtext"/>
          <w:rFonts w:ascii="Segoe UI" w:hAnsi="Segoe UI" w:cs="Segoe UI"/>
          <w:sz w:val="22"/>
          <w:szCs w:val="22"/>
          <w:lang w:val="id-ID"/>
        </w:rPr>
      </w:pPr>
    </w:p>
    <w:p w:rsidR="00955050" w:rsidRPr="005709A2" w:rsidRDefault="00955050" w:rsidP="00955050">
      <w:pPr>
        <w:pStyle w:val="Heading2"/>
        <w:rPr>
          <w:rStyle w:val="mediumtext"/>
          <w:rFonts w:cs="Segoe UI"/>
          <w:sz w:val="22"/>
          <w:szCs w:val="22"/>
        </w:rPr>
      </w:pPr>
      <w:r w:rsidRPr="005709A2">
        <w:rPr>
          <w:rStyle w:val="mediumtext"/>
          <w:rFonts w:cs="Segoe UI"/>
          <w:sz w:val="22"/>
          <w:szCs w:val="22"/>
        </w:rPr>
        <w:t>2.4 Teknik Analisis Data</w:t>
      </w:r>
    </w:p>
    <w:p w:rsidR="001C62FB" w:rsidRPr="005709A2" w:rsidRDefault="0012521E" w:rsidP="00955050">
      <w:pPr>
        <w:pStyle w:val="Heading4"/>
        <w:ind w:left="567" w:right="322" w:firstLine="567"/>
        <w:rPr>
          <w:rStyle w:val="mediumtext"/>
          <w:rFonts w:ascii="Segoe UI" w:hAnsi="Segoe UI" w:cs="Segoe UI"/>
          <w:i w:val="0"/>
          <w:iCs w:val="0"/>
          <w:color w:val="auto"/>
        </w:rPr>
      </w:pPr>
      <w:r w:rsidRPr="005709A2">
        <w:rPr>
          <w:rFonts w:ascii="Segoe UI" w:hAnsi="Segoe UI" w:cs="Segoe UI"/>
          <w:i w:val="0"/>
          <w:iCs w:val="0"/>
          <w:color w:val="auto"/>
        </w:rPr>
        <w:t>Analisis data dilakukan menggunakan regresi linear sederhana untuk mengetahui pengaruh NPL terhadap masing-masing indikator kinerja keuangan, yaitu ROA, ROE, dan NIM. Pengujian dilakukan melalui uji t, uji F, dan koefisien determinasi (R²) dengan tingkat signifikansi 5%.</w:t>
      </w:r>
    </w:p>
    <w:p w:rsidR="001E0508" w:rsidRPr="005709A2" w:rsidRDefault="001E0508" w:rsidP="006F0069">
      <w:pPr>
        <w:ind w:left="567" w:right="322" w:firstLine="567"/>
        <w:rPr>
          <w:rFonts w:cs="Segoe UI"/>
        </w:rPr>
      </w:pPr>
    </w:p>
    <w:p w:rsidR="001E0508" w:rsidRPr="005709A2" w:rsidRDefault="006F0069" w:rsidP="006F0069">
      <w:pPr>
        <w:pStyle w:val="Heading3"/>
        <w:ind w:left="1134" w:hanging="283"/>
        <w:rPr>
          <w:rFonts w:cs="Segoe UI"/>
          <w:sz w:val="22"/>
          <w:szCs w:val="22"/>
          <w:lang w:val="id-ID"/>
        </w:rPr>
      </w:pPr>
      <w:r w:rsidRPr="005709A2">
        <w:rPr>
          <w:rFonts w:cs="Segoe UI"/>
          <w:iCs/>
          <w:sz w:val="22"/>
          <w:szCs w:val="22"/>
          <w:lang w:val="id-ID"/>
        </w:rPr>
        <w:t>HASIL DA</w:t>
      </w:r>
      <w:r w:rsidRPr="005709A2">
        <w:rPr>
          <w:rFonts w:cs="Segoe UI"/>
          <w:sz w:val="22"/>
          <w:szCs w:val="22"/>
          <w:lang w:val="id-ID"/>
        </w:rPr>
        <w:t>N PEMBAHASAN</w:t>
      </w:r>
    </w:p>
    <w:p w:rsidR="006F0069" w:rsidRPr="005709A2" w:rsidRDefault="006F0069" w:rsidP="006F0069">
      <w:pPr>
        <w:pStyle w:val="IEEEParagraph"/>
        <w:ind w:left="567" w:right="322" w:firstLine="567"/>
        <w:rPr>
          <w:rFonts w:ascii="Segoe UI" w:hAnsi="Segoe UI" w:cs="Segoe UI"/>
          <w:sz w:val="22"/>
          <w:szCs w:val="22"/>
          <w:shd w:val="clear" w:color="auto" w:fill="FFFFFF"/>
          <w:lang w:val="id-ID"/>
        </w:rPr>
      </w:pPr>
    </w:p>
    <w:p w:rsidR="0012521E" w:rsidRPr="005709A2" w:rsidRDefault="0012521E" w:rsidP="0012521E">
      <w:pPr>
        <w:pStyle w:val="ListParagraph"/>
        <w:spacing w:after="0" w:line="360" w:lineRule="auto"/>
        <w:ind w:left="567" w:firstLine="567"/>
        <w:rPr>
          <w:rFonts w:cs="Segoe UI"/>
        </w:rPr>
      </w:pPr>
      <w:r w:rsidRPr="005709A2">
        <w:rPr>
          <w:rFonts w:cs="Segoe UI"/>
        </w:rPr>
        <w:t>Penelitian ini menggunakan 5 (lima) tahun observasi, yaitu dari tahun 2020 hingga 2024. Jumlah sampel dalam penelitian ini adalah sebanyak 5 data tahunan (</w:t>
      </w:r>
      <w:r w:rsidRPr="005709A2">
        <w:rPr>
          <w:rFonts w:cs="Segoe UI"/>
          <w:i/>
          <w:iCs/>
        </w:rPr>
        <w:t>time series</w:t>
      </w:r>
      <w:r w:rsidRPr="005709A2">
        <w:rPr>
          <w:rFonts w:cs="Segoe UI"/>
        </w:rPr>
        <w:t>). Meskipun jumlah data tergolong kecil, hal ini sesuai dengan karakteristik penelitian yang bersifat studi kasus pada satu objek penelitian dengan periode waktu tertentu.</w:t>
      </w:r>
    </w:p>
    <w:p w:rsidR="0012521E" w:rsidRPr="005709A2" w:rsidRDefault="0012521E" w:rsidP="0012521E">
      <w:pPr>
        <w:pStyle w:val="ListParagraph"/>
        <w:spacing w:after="0" w:line="360" w:lineRule="auto"/>
        <w:ind w:left="567" w:firstLine="567"/>
        <w:rPr>
          <w:rFonts w:cs="Segoe UI"/>
        </w:rPr>
      </w:pPr>
      <w:r w:rsidRPr="005709A2">
        <w:rPr>
          <w:rFonts w:cs="Segoe UI"/>
        </w:rPr>
        <w:lastRenderedPageBreak/>
        <w:t>Berikut adalah data lengkap variabel penelitian selama periode 2020–2024:</w:t>
      </w:r>
    </w:p>
    <w:p w:rsidR="0012521E" w:rsidRPr="005709A2" w:rsidRDefault="0012521E" w:rsidP="0012521E">
      <w:pPr>
        <w:spacing w:after="0" w:line="360" w:lineRule="auto"/>
        <w:jc w:val="center"/>
        <w:rPr>
          <w:rFonts w:cs="Segoe UI"/>
          <w:b/>
          <w:bCs/>
        </w:rPr>
      </w:pPr>
      <w:bookmarkStart w:id="0" w:name="_Toc235924275"/>
      <w:r w:rsidRPr="005709A2">
        <w:rPr>
          <w:rFonts w:cs="Segoe UI"/>
          <w:b/>
          <w:bCs/>
        </w:rPr>
        <w:t xml:space="preserve">Tabel 4. </w:t>
      </w:r>
      <w:r w:rsidR="00C459D6" w:rsidRPr="005709A2">
        <w:rPr>
          <w:rFonts w:cs="Segoe UI"/>
          <w:b/>
          <w:bCs/>
        </w:rPr>
        <w:fldChar w:fldCharType="begin"/>
      </w:r>
      <w:r w:rsidRPr="005709A2">
        <w:rPr>
          <w:rFonts w:cs="Segoe UI"/>
          <w:b/>
          <w:bCs/>
        </w:rPr>
        <w:instrText xml:space="preserve"> SEQ Tabel_4. \* ARABIC </w:instrText>
      </w:r>
      <w:r w:rsidR="00C459D6" w:rsidRPr="005709A2">
        <w:rPr>
          <w:rFonts w:cs="Segoe UI"/>
          <w:b/>
          <w:bCs/>
        </w:rPr>
        <w:fldChar w:fldCharType="separate"/>
      </w:r>
      <w:r w:rsidRPr="005709A2">
        <w:rPr>
          <w:rFonts w:cs="Segoe UI"/>
          <w:b/>
          <w:bCs/>
          <w:noProof/>
        </w:rPr>
        <w:t>1</w:t>
      </w:r>
      <w:r w:rsidR="00C459D6" w:rsidRPr="005709A2">
        <w:rPr>
          <w:rFonts w:cs="Segoe UI"/>
          <w:b/>
          <w:bCs/>
        </w:rPr>
        <w:fldChar w:fldCharType="end"/>
      </w:r>
      <w:r w:rsidRPr="005709A2">
        <w:rPr>
          <w:rFonts w:cs="Segoe UI"/>
          <w:b/>
          <w:bCs/>
        </w:rPr>
        <w:t xml:space="preserve"> Data Variabel Penelitian Bank Papua Periode 2020–2024</w:t>
      </w:r>
      <w:bookmarkEnd w:id="0"/>
    </w:p>
    <w:tbl>
      <w:tblPr>
        <w:tblStyle w:val="TableGrid"/>
        <w:tblW w:w="0" w:type="auto"/>
        <w:jc w:val="center"/>
        <w:tblLook w:val="04A0"/>
      </w:tblPr>
      <w:tblGrid>
        <w:gridCol w:w="862"/>
        <w:gridCol w:w="1052"/>
        <w:gridCol w:w="1096"/>
        <w:gridCol w:w="1058"/>
        <w:gridCol w:w="1084"/>
      </w:tblGrid>
      <w:tr w:rsidR="0012521E" w:rsidRPr="005709A2" w:rsidTr="00691A73">
        <w:trPr>
          <w:jc w:val="center"/>
        </w:trPr>
        <w:tc>
          <w:tcPr>
            <w:tcW w:w="0" w:type="auto"/>
            <w:vAlign w:val="center"/>
            <w:hideMark/>
          </w:tcPr>
          <w:p w:rsidR="0012521E" w:rsidRPr="005709A2" w:rsidRDefault="0012521E" w:rsidP="00691A73">
            <w:pPr>
              <w:spacing w:line="360" w:lineRule="auto"/>
              <w:jc w:val="center"/>
              <w:rPr>
                <w:rFonts w:cs="Segoe UI"/>
                <w:b/>
                <w:bCs/>
              </w:rPr>
            </w:pPr>
            <w:r w:rsidRPr="005709A2">
              <w:rPr>
                <w:rFonts w:cs="Segoe UI"/>
                <w:b/>
                <w:bCs/>
              </w:rPr>
              <w:t>Tahun</w:t>
            </w:r>
          </w:p>
        </w:tc>
        <w:tc>
          <w:tcPr>
            <w:tcW w:w="0" w:type="auto"/>
            <w:vAlign w:val="center"/>
            <w:hideMark/>
          </w:tcPr>
          <w:p w:rsidR="0012521E" w:rsidRPr="005709A2" w:rsidRDefault="0012521E" w:rsidP="00691A73">
            <w:pPr>
              <w:spacing w:line="360" w:lineRule="auto"/>
              <w:jc w:val="center"/>
              <w:rPr>
                <w:rFonts w:cs="Segoe UI"/>
                <w:b/>
                <w:bCs/>
              </w:rPr>
            </w:pPr>
            <w:r w:rsidRPr="005709A2">
              <w:rPr>
                <w:rFonts w:cs="Segoe UI"/>
                <w:b/>
                <w:bCs/>
              </w:rPr>
              <w:t>NPL (%)</w:t>
            </w:r>
          </w:p>
        </w:tc>
        <w:tc>
          <w:tcPr>
            <w:tcW w:w="0" w:type="auto"/>
            <w:vAlign w:val="center"/>
            <w:hideMark/>
          </w:tcPr>
          <w:p w:rsidR="0012521E" w:rsidRPr="005709A2" w:rsidRDefault="0012521E" w:rsidP="00691A73">
            <w:pPr>
              <w:spacing w:line="360" w:lineRule="auto"/>
              <w:jc w:val="center"/>
              <w:rPr>
                <w:rFonts w:cs="Segoe UI"/>
                <w:b/>
                <w:bCs/>
              </w:rPr>
            </w:pPr>
            <w:r w:rsidRPr="005709A2">
              <w:rPr>
                <w:rFonts w:cs="Segoe UI"/>
                <w:b/>
                <w:bCs/>
              </w:rPr>
              <w:t>ROA (%)</w:t>
            </w:r>
          </w:p>
        </w:tc>
        <w:tc>
          <w:tcPr>
            <w:tcW w:w="0" w:type="auto"/>
            <w:vAlign w:val="center"/>
            <w:hideMark/>
          </w:tcPr>
          <w:p w:rsidR="0012521E" w:rsidRPr="005709A2" w:rsidRDefault="0012521E" w:rsidP="00691A73">
            <w:pPr>
              <w:spacing w:line="360" w:lineRule="auto"/>
              <w:jc w:val="center"/>
              <w:rPr>
                <w:rFonts w:cs="Segoe UI"/>
                <w:b/>
                <w:bCs/>
              </w:rPr>
            </w:pPr>
            <w:r w:rsidRPr="005709A2">
              <w:rPr>
                <w:rFonts w:cs="Segoe UI"/>
                <w:b/>
                <w:bCs/>
              </w:rPr>
              <w:t>ROE (%)</w:t>
            </w:r>
          </w:p>
        </w:tc>
        <w:tc>
          <w:tcPr>
            <w:tcW w:w="0" w:type="auto"/>
            <w:vAlign w:val="center"/>
            <w:hideMark/>
          </w:tcPr>
          <w:p w:rsidR="0012521E" w:rsidRPr="005709A2" w:rsidRDefault="0012521E" w:rsidP="00691A73">
            <w:pPr>
              <w:spacing w:line="360" w:lineRule="auto"/>
              <w:jc w:val="center"/>
              <w:rPr>
                <w:rFonts w:cs="Segoe UI"/>
                <w:b/>
                <w:bCs/>
              </w:rPr>
            </w:pPr>
            <w:r w:rsidRPr="005709A2">
              <w:rPr>
                <w:rFonts w:cs="Segoe UI"/>
                <w:b/>
                <w:bCs/>
              </w:rPr>
              <w:t>NIM (%)</w:t>
            </w:r>
          </w:p>
        </w:tc>
      </w:tr>
      <w:tr w:rsidR="0012521E" w:rsidRPr="005709A2" w:rsidTr="00691A73">
        <w:trPr>
          <w:jc w:val="center"/>
        </w:trPr>
        <w:tc>
          <w:tcPr>
            <w:tcW w:w="0" w:type="auto"/>
            <w:vAlign w:val="center"/>
            <w:hideMark/>
          </w:tcPr>
          <w:p w:rsidR="0012521E" w:rsidRPr="005709A2" w:rsidRDefault="0012521E" w:rsidP="00691A73">
            <w:pPr>
              <w:spacing w:line="360" w:lineRule="auto"/>
              <w:jc w:val="center"/>
              <w:rPr>
                <w:rFonts w:cs="Segoe UI"/>
              </w:rPr>
            </w:pPr>
            <w:r w:rsidRPr="005709A2">
              <w:rPr>
                <w:rFonts w:cs="Segoe UI"/>
              </w:rPr>
              <w:t>2020</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4,17</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1,67</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10,98</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6,17</w:t>
            </w:r>
          </w:p>
        </w:tc>
      </w:tr>
      <w:tr w:rsidR="0012521E" w:rsidRPr="005709A2" w:rsidTr="00691A73">
        <w:trPr>
          <w:jc w:val="center"/>
        </w:trPr>
        <w:tc>
          <w:tcPr>
            <w:tcW w:w="0" w:type="auto"/>
            <w:vAlign w:val="center"/>
            <w:hideMark/>
          </w:tcPr>
          <w:p w:rsidR="0012521E" w:rsidRPr="005709A2" w:rsidRDefault="0012521E" w:rsidP="00691A73">
            <w:pPr>
              <w:spacing w:line="360" w:lineRule="auto"/>
              <w:jc w:val="center"/>
              <w:rPr>
                <w:rFonts w:cs="Segoe UI"/>
              </w:rPr>
            </w:pPr>
            <w:r w:rsidRPr="005709A2">
              <w:rPr>
                <w:rFonts w:cs="Segoe UI"/>
              </w:rPr>
              <w:t>2021</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3,41</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1,76</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10,74</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6,26</w:t>
            </w:r>
          </w:p>
        </w:tc>
      </w:tr>
      <w:tr w:rsidR="0012521E" w:rsidRPr="005709A2" w:rsidTr="00691A73">
        <w:trPr>
          <w:jc w:val="center"/>
        </w:trPr>
        <w:tc>
          <w:tcPr>
            <w:tcW w:w="0" w:type="auto"/>
            <w:vAlign w:val="center"/>
            <w:hideMark/>
          </w:tcPr>
          <w:p w:rsidR="0012521E" w:rsidRPr="005709A2" w:rsidRDefault="0012521E" w:rsidP="00691A73">
            <w:pPr>
              <w:spacing w:line="360" w:lineRule="auto"/>
              <w:jc w:val="center"/>
              <w:rPr>
                <w:rFonts w:cs="Segoe UI"/>
              </w:rPr>
            </w:pPr>
            <w:r w:rsidRPr="005709A2">
              <w:rPr>
                <w:rFonts w:cs="Segoe UI"/>
              </w:rPr>
              <w:t>2022</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3,02</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1,82</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14,28</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6,28</w:t>
            </w:r>
          </w:p>
        </w:tc>
      </w:tr>
      <w:tr w:rsidR="0012521E" w:rsidRPr="005709A2" w:rsidTr="00691A73">
        <w:trPr>
          <w:jc w:val="center"/>
        </w:trPr>
        <w:tc>
          <w:tcPr>
            <w:tcW w:w="0" w:type="auto"/>
            <w:vAlign w:val="center"/>
            <w:hideMark/>
          </w:tcPr>
          <w:p w:rsidR="0012521E" w:rsidRPr="005709A2" w:rsidRDefault="0012521E" w:rsidP="00691A73">
            <w:pPr>
              <w:spacing w:line="360" w:lineRule="auto"/>
              <w:jc w:val="center"/>
              <w:rPr>
                <w:rFonts w:cs="Segoe UI"/>
              </w:rPr>
            </w:pPr>
            <w:r w:rsidRPr="005709A2">
              <w:rPr>
                <w:rFonts w:cs="Segoe UI"/>
              </w:rPr>
              <w:t>2023</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2,41</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1,62</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11,08</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6,43</w:t>
            </w:r>
          </w:p>
        </w:tc>
      </w:tr>
      <w:tr w:rsidR="0012521E" w:rsidRPr="005709A2" w:rsidTr="00691A73">
        <w:trPr>
          <w:jc w:val="center"/>
        </w:trPr>
        <w:tc>
          <w:tcPr>
            <w:tcW w:w="0" w:type="auto"/>
            <w:vAlign w:val="center"/>
            <w:hideMark/>
          </w:tcPr>
          <w:p w:rsidR="0012521E" w:rsidRPr="005709A2" w:rsidRDefault="0012521E" w:rsidP="00691A73">
            <w:pPr>
              <w:spacing w:line="360" w:lineRule="auto"/>
              <w:jc w:val="center"/>
              <w:rPr>
                <w:rFonts w:cs="Segoe UI"/>
              </w:rPr>
            </w:pPr>
            <w:r w:rsidRPr="005709A2">
              <w:rPr>
                <w:rFonts w:cs="Segoe UI"/>
              </w:rPr>
              <w:t>2024</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2,36</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1,89</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10,94</w:t>
            </w:r>
          </w:p>
        </w:tc>
        <w:tc>
          <w:tcPr>
            <w:tcW w:w="0" w:type="auto"/>
            <w:vAlign w:val="center"/>
            <w:hideMark/>
          </w:tcPr>
          <w:p w:rsidR="0012521E" w:rsidRPr="005709A2" w:rsidRDefault="0012521E" w:rsidP="00691A73">
            <w:pPr>
              <w:spacing w:line="360" w:lineRule="auto"/>
              <w:jc w:val="center"/>
              <w:rPr>
                <w:rFonts w:cs="Segoe UI"/>
              </w:rPr>
            </w:pPr>
            <w:r w:rsidRPr="005709A2">
              <w:rPr>
                <w:rFonts w:cs="Segoe UI"/>
              </w:rPr>
              <w:t>7,19</w:t>
            </w:r>
          </w:p>
        </w:tc>
      </w:tr>
    </w:tbl>
    <w:p w:rsidR="0012521E" w:rsidRPr="005709A2" w:rsidRDefault="0012521E" w:rsidP="0012521E">
      <w:pPr>
        <w:pStyle w:val="ListParagraph"/>
        <w:spacing w:after="0" w:line="360" w:lineRule="auto"/>
        <w:ind w:left="567"/>
        <w:rPr>
          <w:rFonts w:cs="Segoe UI"/>
        </w:rPr>
      </w:pPr>
      <w:r w:rsidRPr="005709A2">
        <w:rPr>
          <w:rFonts w:cs="Segoe UI"/>
        </w:rPr>
        <w:t>Sumber: Laporan Tahunan Bank Papua (2021), Laporan Tata Kelola Bank Papua (2022), dan data diolah peneliti (2025)</w:t>
      </w:r>
    </w:p>
    <w:p w:rsidR="0012521E" w:rsidRPr="005709A2" w:rsidRDefault="0012521E" w:rsidP="0012521E">
      <w:pPr>
        <w:pStyle w:val="ListParagraph"/>
        <w:spacing w:after="0" w:line="360" w:lineRule="auto"/>
        <w:ind w:left="567" w:firstLine="567"/>
        <w:rPr>
          <w:rFonts w:cs="Segoe UI"/>
        </w:rPr>
      </w:pPr>
      <w:r w:rsidRPr="005709A2">
        <w:rPr>
          <w:rFonts w:cs="Segoe UI"/>
        </w:rPr>
        <w:t>Berdasarkan tabel di atas, dapat dilihat bahwa selama periode 2020–2024, rasio NPL Bank Papua menunjukkan tren penurunan yang konsisten. Pada tahun 2020, NPL tercatat sebesar 4,17% dan terus menurun hingga mencapai 2,36% pada tahun 2024. Penurunan NPL ini mengindikasikan adanya perbaikan kualitas kredit dan pengelolaan risiko kredit yang lebih baik oleh manajemen Bank Papua.</w:t>
      </w:r>
    </w:p>
    <w:p w:rsidR="0012521E" w:rsidRPr="005709A2" w:rsidRDefault="0012521E" w:rsidP="0012521E">
      <w:pPr>
        <w:pStyle w:val="IEEEParagraph"/>
        <w:ind w:left="567" w:right="322" w:firstLine="567"/>
        <w:rPr>
          <w:rFonts w:ascii="Segoe UI" w:hAnsi="Segoe UI" w:cs="Segoe UI"/>
          <w:sz w:val="22"/>
          <w:szCs w:val="22"/>
          <w:shd w:val="clear" w:color="auto" w:fill="FFFFFF"/>
          <w:lang w:val="id-ID"/>
        </w:rPr>
      </w:pPr>
      <w:r w:rsidRPr="005709A2">
        <w:rPr>
          <w:rFonts w:ascii="Segoe UI" w:hAnsi="Segoe UI" w:cs="Segoe UI"/>
          <w:sz w:val="22"/>
          <w:szCs w:val="22"/>
          <w:lang w:val="id-ID"/>
        </w:rPr>
        <w:t>Sementara itu, kinerja keuangan yang diukur melalui ROA, ROE, dan NIM menunjukkan fluktuasi selama periode penelitian. ROA bergerak dari 1,67% (2020) ke 1,89% (2024) dengan fluktuasi di tahun-tahun antara. ROE mengalami peningkatan signifikan pada tahun 2022 sebesar 14,28%, namun kembali menurun pada tahun 2023 dan 2024. NIM menunjukkan tren peningkatan dari 6,17% pada tahun 2020 menjadi 7,19% pada tahun 2024.</w:t>
      </w:r>
    </w:p>
    <w:p w:rsidR="006F0069" w:rsidRPr="005709A2" w:rsidRDefault="006F0069" w:rsidP="006F0069">
      <w:pPr>
        <w:pStyle w:val="IEEEParagraph"/>
        <w:ind w:left="567" w:right="322" w:firstLine="567"/>
        <w:rPr>
          <w:rFonts w:ascii="Segoe UI" w:hAnsi="Segoe UI" w:cs="Segoe UI"/>
          <w:sz w:val="22"/>
          <w:szCs w:val="22"/>
          <w:shd w:val="clear" w:color="auto" w:fill="FFFFFF"/>
          <w:lang w:val="id-ID"/>
        </w:rPr>
      </w:pPr>
    </w:p>
    <w:p w:rsidR="006F0069" w:rsidRPr="005709A2" w:rsidRDefault="006F0069" w:rsidP="006F0069">
      <w:pPr>
        <w:pStyle w:val="Heading2"/>
        <w:rPr>
          <w:rFonts w:cs="Segoe UI"/>
          <w:sz w:val="22"/>
          <w:szCs w:val="22"/>
          <w:shd w:val="clear" w:color="auto" w:fill="FFFFFF"/>
        </w:rPr>
      </w:pPr>
      <w:r w:rsidRPr="005709A2">
        <w:rPr>
          <w:rFonts w:cs="Segoe UI"/>
          <w:sz w:val="22"/>
          <w:szCs w:val="22"/>
          <w:shd w:val="clear" w:color="auto" w:fill="FFFFFF"/>
        </w:rPr>
        <w:t>3.1 Karakteristik Responden</w:t>
      </w:r>
    </w:p>
    <w:p w:rsidR="00985560" w:rsidRPr="005709A2" w:rsidRDefault="00985560" w:rsidP="00985560">
      <w:pPr>
        <w:pStyle w:val="Heading2"/>
        <w:rPr>
          <w:rFonts w:cs="Segoe UI"/>
          <w:sz w:val="22"/>
          <w:szCs w:val="22"/>
        </w:rPr>
      </w:pPr>
    </w:p>
    <w:p w:rsidR="0012521E" w:rsidRPr="005709A2" w:rsidRDefault="0012521E" w:rsidP="0012521E">
      <w:pPr>
        <w:spacing w:after="0" w:line="360" w:lineRule="auto"/>
        <w:jc w:val="center"/>
        <w:rPr>
          <w:rFonts w:cs="Segoe UI"/>
          <w:b/>
          <w:bCs/>
        </w:rPr>
      </w:pPr>
      <w:bookmarkStart w:id="1" w:name="_Toc235924276"/>
      <w:r w:rsidRPr="005709A2">
        <w:rPr>
          <w:rFonts w:cs="Segoe UI"/>
          <w:b/>
          <w:bCs/>
        </w:rPr>
        <w:t xml:space="preserve">Tabel 4. </w:t>
      </w:r>
      <w:r w:rsidR="00C459D6" w:rsidRPr="005709A2">
        <w:rPr>
          <w:rFonts w:cs="Segoe UI"/>
          <w:b/>
          <w:bCs/>
        </w:rPr>
        <w:fldChar w:fldCharType="begin"/>
      </w:r>
      <w:r w:rsidRPr="005709A2">
        <w:rPr>
          <w:rFonts w:cs="Segoe UI"/>
          <w:b/>
          <w:bCs/>
        </w:rPr>
        <w:instrText xml:space="preserve"> SEQ Tabel_4. \* ARABIC </w:instrText>
      </w:r>
      <w:r w:rsidR="00C459D6" w:rsidRPr="005709A2">
        <w:rPr>
          <w:rFonts w:cs="Segoe UI"/>
          <w:b/>
          <w:bCs/>
        </w:rPr>
        <w:fldChar w:fldCharType="separate"/>
      </w:r>
      <w:r w:rsidRPr="005709A2">
        <w:rPr>
          <w:rFonts w:cs="Segoe UI"/>
          <w:b/>
          <w:bCs/>
          <w:noProof/>
        </w:rPr>
        <w:t>2</w:t>
      </w:r>
      <w:r w:rsidR="00C459D6" w:rsidRPr="005709A2">
        <w:rPr>
          <w:rFonts w:cs="Segoe UI"/>
          <w:b/>
          <w:bCs/>
        </w:rPr>
        <w:fldChar w:fldCharType="end"/>
      </w:r>
      <w:r w:rsidRPr="005709A2">
        <w:rPr>
          <w:rFonts w:cs="Segoe UI"/>
          <w:b/>
          <w:bCs/>
        </w:rPr>
        <w:t xml:space="preserve"> Hasil Analisis Statistik Deskriptif</w:t>
      </w:r>
      <w:bookmarkEnd w:id="1"/>
    </w:p>
    <w:p w:rsidR="0012521E" w:rsidRPr="005709A2" w:rsidRDefault="0012521E" w:rsidP="0012521E">
      <w:pPr>
        <w:spacing w:after="0" w:line="360" w:lineRule="auto"/>
        <w:jc w:val="center"/>
        <w:rPr>
          <w:rFonts w:cs="Segoe UI"/>
        </w:rPr>
      </w:pPr>
      <w:r w:rsidRPr="005709A2">
        <w:rPr>
          <w:rFonts w:cs="Segoe UI"/>
          <w:noProof/>
          <w:lang w:val="en-US"/>
        </w:rPr>
        <w:drawing>
          <wp:inline distT="0" distB="0" distL="0" distR="0">
            <wp:extent cx="5040630" cy="1252220"/>
            <wp:effectExtent l="0" t="0" r="0" b="0"/>
            <wp:docPr id="165385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5726" name=""/>
                    <pic:cNvPicPr/>
                  </pic:nvPicPr>
                  <pic:blipFill>
                    <a:blip r:embed="rId15"/>
                    <a:stretch>
                      <a:fillRect/>
                    </a:stretch>
                  </pic:blipFill>
                  <pic:spPr>
                    <a:xfrm>
                      <a:off x="0" y="0"/>
                      <a:ext cx="5040630" cy="1252220"/>
                    </a:xfrm>
                    <a:prstGeom prst="rect">
                      <a:avLst/>
                    </a:prstGeom>
                  </pic:spPr>
                </pic:pic>
              </a:graphicData>
            </a:graphic>
          </wp:inline>
        </w:drawing>
      </w:r>
    </w:p>
    <w:p w:rsidR="0012521E" w:rsidRDefault="0012521E" w:rsidP="0012521E">
      <w:pPr>
        <w:spacing w:after="0" w:line="360" w:lineRule="auto"/>
        <w:jc w:val="center"/>
        <w:rPr>
          <w:rFonts w:cs="Segoe UI"/>
          <w:lang w:val="en-US"/>
        </w:rPr>
      </w:pPr>
    </w:p>
    <w:p w:rsidR="00482D96" w:rsidRDefault="00482D96" w:rsidP="0012521E">
      <w:pPr>
        <w:spacing w:after="0" w:line="360" w:lineRule="auto"/>
        <w:jc w:val="center"/>
        <w:rPr>
          <w:rFonts w:cs="Segoe UI"/>
          <w:lang w:val="en-US"/>
        </w:rPr>
      </w:pPr>
    </w:p>
    <w:p w:rsidR="00482D96" w:rsidRDefault="00482D96" w:rsidP="0012521E">
      <w:pPr>
        <w:spacing w:after="0" w:line="360" w:lineRule="auto"/>
        <w:jc w:val="center"/>
        <w:rPr>
          <w:rFonts w:cs="Segoe UI"/>
          <w:lang w:val="en-US"/>
        </w:rPr>
      </w:pPr>
    </w:p>
    <w:p w:rsidR="00482D96" w:rsidRPr="00482D96" w:rsidRDefault="00482D96" w:rsidP="0012521E">
      <w:pPr>
        <w:spacing w:after="0" w:line="360" w:lineRule="auto"/>
        <w:jc w:val="center"/>
        <w:rPr>
          <w:rFonts w:cs="Segoe UI"/>
          <w:lang w:val="en-US"/>
        </w:rPr>
      </w:pPr>
    </w:p>
    <w:p w:rsidR="0012521E" w:rsidRPr="005709A2" w:rsidRDefault="0012521E" w:rsidP="0012521E">
      <w:pPr>
        <w:pStyle w:val="ListParagraph"/>
        <w:numPr>
          <w:ilvl w:val="0"/>
          <w:numId w:val="11"/>
        </w:numPr>
        <w:spacing w:after="0" w:line="360" w:lineRule="auto"/>
        <w:ind w:left="1134" w:hanging="567"/>
        <w:rPr>
          <w:rFonts w:cs="Segoe UI"/>
          <w:b/>
          <w:bCs/>
        </w:rPr>
      </w:pPr>
      <w:r w:rsidRPr="005709A2">
        <w:rPr>
          <w:rFonts w:cs="Segoe UI"/>
          <w:b/>
          <w:bCs/>
        </w:rPr>
        <w:lastRenderedPageBreak/>
        <w:t>Non-Performing Loan (NPL) Gross</w:t>
      </w:r>
    </w:p>
    <w:tbl>
      <w:tblPr>
        <w:tblStyle w:val="TableGrid"/>
        <w:tblW w:w="0" w:type="auto"/>
        <w:jc w:val="center"/>
        <w:tblLook w:val="04A0"/>
      </w:tblPr>
      <w:tblGrid>
        <w:gridCol w:w="1567"/>
        <w:gridCol w:w="1037"/>
        <w:gridCol w:w="3716"/>
      </w:tblGrid>
      <w:tr w:rsidR="0012521E" w:rsidRPr="005709A2" w:rsidTr="00691A73">
        <w:trPr>
          <w:trHeight w:val="20"/>
          <w:jc w:val="center"/>
        </w:trPr>
        <w:tc>
          <w:tcPr>
            <w:tcW w:w="0" w:type="auto"/>
            <w:hideMark/>
          </w:tcPr>
          <w:p w:rsidR="0012521E" w:rsidRPr="005709A2" w:rsidRDefault="0012521E" w:rsidP="00691A73">
            <w:pPr>
              <w:spacing w:line="360" w:lineRule="auto"/>
              <w:jc w:val="center"/>
              <w:rPr>
                <w:rFonts w:cs="Segoe UI"/>
                <w:b/>
                <w:bCs/>
              </w:rPr>
            </w:pPr>
            <w:r w:rsidRPr="005709A2">
              <w:rPr>
                <w:rFonts w:cs="Segoe UI"/>
                <w:b/>
                <w:bCs/>
              </w:rPr>
              <w:t>Statistik</w:t>
            </w:r>
          </w:p>
        </w:tc>
        <w:tc>
          <w:tcPr>
            <w:tcW w:w="0" w:type="auto"/>
            <w:hideMark/>
          </w:tcPr>
          <w:p w:rsidR="0012521E" w:rsidRPr="005709A2" w:rsidRDefault="0012521E" w:rsidP="00691A73">
            <w:pPr>
              <w:spacing w:line="360" w:lineRule="auto"/>
              <w:jc w:val="center"/>
              <w:rPr>
                <w:rFonts w:cs="Segoe UI"/>
                <w:b/>
                <w:bCs/>
              </w:rPr>
            </w:pPr>
            <w:r w:rsidRPr="005709A2">
              <w:rPr>
                <w:rFonts w:cs="Segoe UI"/>
                <w:b/>
                <w:bCs/>
              </w:rPr>
              <w:t>Nilai</w:t>
            </w:r>
          </w:p>
        </w:tc>
        <w:tc>
          <w:tcPr>
            <w:tcW w:w="0" w:type="auto"/>
            <w:hideMark/>
          </w:tcPr>
          <w:p w:rsidR="0012521E" w:rsidRPr="005709A2" w:rsidRDefault="0012521E" w:rsidP="00691A73">
            <w:pPr>
              <w:spacing w:line="360" w:lineRule="auto"/>
              <w:jc w:val="center"/>
              <w:rPr>
                <w:rFonts w:cs="Segoe UI"/>
                <w:b/>
                <w:bCs/>
              </w:rPr>
            </w:pPr>
            <w:r w:rsidRPr="005709A2">
              <w:rPr>
                <w:rFonts w:cs="Segoe UI"/>
                <w:b/>
                <w:bCs/>
              </w:rPr>
              <w:t>Keterangan</w:t>
            </w:r>
          </w:p>
        </w:tc>
      </w:tr>
      <w:tr w:rsidR="0012521E" w:rsidRPr="005709A2" w:rsidTr="00691A73">
        <w:trPr>
          <w:trHeight w:val="20"/>
          <w:jc w:val="center"/>
        </w:trPr>
        <w:tc>
          <w:tcPr>
            <w:tcW w:w="0" w:type="auto"/>
            <w:hideMark/>
          </w:tcPr>
          <w:p w:rsidR="0012521E" w:rsidRPr="005709A2" w:rsidRDefault="0012521E" w:rsidP="00691A73">
            <w:pPr>
              <w:spacing w:line="360" w:lineRule="auto"/>
              <w:jc w:val="center"/>
              <w:rPr>
                <w:rFonts w:cs="Segoe UI"/>
              </w:rPr>
            </w:pPr>
            <w:r w:rsidRPr="005709A2">
              <w:rPr>
                <w:rFonts w:cs="Segoe UI"/>
              </w:rPr>
              <w:t>N</w:t>
            </w:r>
          </w:p>
        </w:tc>
        <w:tc>
          <w:tcPr>
            <w:tcW w:w="0" w:type="auto"/>
            <w:hideMark/>
          </w:tcPr>
          <w:p w:rsidR="0012521E" w:rsidRPr="005709A2" w:rsidRDefault="0012521E" w:rsidP="00691A73">
            <w:pPr>
              <w:spacing w:line="360" w:lineRule="auto"/>
              <w:jc w:val="center"/>
              <w:rPr>
                <w:rFonts w:cs="Segoe UI"/>
              </w:rPr>
            </w:pPr>
            <w:r w:rsidRPr="005709A2">
              <w:rPr>
                <w:rFonts w:cs="Segoe UI"/>
              </w:rPr>
              <w:t>5</w:t>
            </w:r>
          </w:p>
        </w:tc>
        <w:tc>
          <w:tcPr>
            <w:tcW w:w="0" w:type="auto"/>
            <w:hideMark/>
          </w:tcPr>
          <w:p w:rsidR="0012521E" w:rsidRPr="005709A2" w:rsidRDefault="0012521E" w:rsidP="00691A73">
            <w:pPr>
              <w:spacing w:line="360" w:lineRule="auto"/>
              <w:jc w:val="center"/>
              <w:rPr>
                <w:rFonts w:cs="Segoe UI"/>
              </w:rPr>
            </w:pPr>
            <w:r w:rsidRPr="005709A2">
              <w:rPr>
                <w:rFonts w:cs="Segoe UI"/>
              </w:rPr>
              <w:t>Jumlah observasi (tahun 2020-2024)</w:t>
            </w:r>
          </w:p>
        </w:tc>
      </w:tr>
      <w:tr w:rsidR="0012521E" w:rsidRPr="005709A2" w:rsidTr="00691A73">
        <w:trPr>
          <w:trHeight w:val="20"/>
          <w:jc w:val="center"/>
        </w:trPr>
        <w:tc>
          <w:tcPr>
            <w:tcW w:w="0" w:type="auto"/>
            <w:hideMark/>
          </w:tcPr>
          <w:p w:rsidR="0012521E" w:rsidRPr="005709A2" w:rsidRDefault="0012521E" w:rsidP="00691A73">
            <w:pPr>
              <w:spacing w:line="360" w:lineRule="auto"/>
              <w:jc w:val="center"/>
              <w:rPr>
                <w:rFonts w:cs="Segoe UI"/>
              </w:rPr>
            </w:pPr>
            <w:r w:rsidRPr="005709A2">
              <w:rPr>
                <w:rFonts w:cs="Segoe UI"/>
              </w:rPr>
              <w:t>Minimum</w:t>
            </w:r>
          </w:p>
        </w:tc>
        <w:tc>
          <w:tcPr>
            <w:tcW w:w="0" w:type="auto"/>
            <w:hideMark/>
          </w:tcPr>
          <w:p w:rsidR="0012521E" w:rsidRPr="005709A2" w:rsidRDefault="0012521E" w:rsidP="00691A73">
            <w:pPr>
              <w:spacing w:line="360" w:lineRule="auto"/>
              <w:jc w:val="center"/>
              <w:rPr>
                <w:rFonts w:cs="Segoe UI"/>
              </w:rPr>
            </w:pPr>
            <w:r w:rsidRPr="005709A2">
              <w:rPr>
                <w:rFonts w:cs="Segoe UI"/>
              </w:rPr>
              <w:t>2.36%</w:t>
            </w:r>
          </w:p>
        </w:tc>
        <w:tc>
          <w:tcPr>
            <w:tcW w:w="0" w:type="auto"/>
            <w:hideMark/>
          </w:tcPr>
          <w:p w:rsidR="0012521E" w:rsidRPr="005709A2" w:rsidRDefault="0012521E" w:rsidP="00691A73">
            <w:pPr>
              <w:spacing w:line="360" w:lineRule="auto"/>
              <w:jc w:val="center"/>
              <w:rPr>
                <w:rFonts w:cs="Segoe UI"/>
              </w:rPr>
            </w:pPr>
            <w:r w:rsidRPr="005709A2">
              <w:rPr>
                <w:rFonts w:cs="Segoe UI"/>
              </w:rPr>
              <w:t>Terendah pada tahun 2024</w:t>
            </w:r>
          </w:p>
        </w:tc>
      </w:tr>
      <w:tr w:rsidR="0012521E" w:rsidRPr="005709A2" w:rsidTr="00691A73">
        <w:trPr>
          <w:trHeight w:val="20"/>
          <w:jc w:val="center"/>
        </w:trPr>
        <w:tc>
          <w:tcPr>
            <w:tcW w:w="0" w:type="auto"/>
            <w:hideMark/>
          </w:tcPr>
          <w:p w:rsidR="0012521E" w:rsidRPr="005709A2" w:rsidRDefault="0012521E" w:rsidP="00691A73">
            <w:pPr>
              <w:spacing w:line="360" w:lineRule="auto"/>
              <w:jc w:val="center"/>
              <w:rPr>
                <w:rFonts w:cs="Segoe UI"/>
              </w:rPr>
            </w:pPr>
            <w:r w:rsidRPr="005709A2">
              <w:rPr>
                <w:rFonts w:cs="Segoe UI"/>
              </w:rPr>
              <w:t>Maximum</w:t>
            </w:r>
          </w:p>
        </w:tc>
        <w:tc>
          <w:tcPr>
            <w:tcW w:w="0" w:type="auto"/>
            <w:hideMark/>
          </w:tcPr>
          <w:p w:rsidR="0012521E" w:rsidRPr="005709A2" w:rsidRDefault="0012521E" w:rsidP="00691A73">
            <w:pPr>
              <w:spacing w:line="360" w:lineRule="auto"/>
              <w:jc w:val="center"/>
              <w:rPr>
                <w:rFonts w:cs="Segoe UI"/>
              </w:rPr>
            </w:pPr>
            <w:r w:rsidRPr="005709A2">
              <w:rPr>
                <w:rFonts w:cs="Segoe UI"/>
              </w:rPr>
              <w:t>4.17%</w:t>
            </w:r>
          </w:p>
        </w:tc>
        <w:tc>
          <w:tcPr>
            <w:tcW w:w="0" w:type="auto"/>
            <w:hideMark/>
          </w:tcPr>
          <w:p w:rsidR="0012521E" w:rsidRPr="005709A2" w:rsidRDefault="0012521E" w:rsidP="00691A73">
            <w:pPr>
              <w:spacing w:line="360" w:lineRule="auto"/>
              <w:jc w:val="center"/>
              <w:rPr>
                <w:rFonts w:cs="Segoe UI"/>
              </w:rPr>
            </w:pPr>
            <w:r w:rsidRPr="005709A2">
              <w:rPr>
                <w:rFonts w:cs="Segoe UI"/>
              </w:rPr>
              <w:t>Tertinggi pada tahun 2020</w:t>
            </w:r>
          </w:p>
        </w:tc>
      </w:tr>
      <w:tr w:rsidR="0012521E" w:rsidRPr="005709A2" w:rsidTr="00691A73">
        <w:trPr>
          <w:trHeight w:val="20"/>
          <w:jc w:val="center"/>
        </w:trPr>
        <w:tc>
          <w:tcPr>
            <w:tcW w:w="0" w:type="auto"/>
            <w:hideMark/>
          </w:tcPr>
          <w:p w:rsidR="0012521E" w:rsidRPr="005709A2" w:rsidRDefault="0012521E" w:rsidP="00691A73">
            <w:pPr>
              <w:spacing w:line="360" w:lineRule="auto"/>
              <w:jc w:val="center"/>
              <w:rPr>
                <w:rFonts w:cs="Segoe UI"/>
              </w:rPr>
            </w:pPr>
            <w:r w:rsidRPr="005709A2">
              <w:rPr>
                <w:rFonts w:cs="Segoe UI"/>
              </w:rPr>
              <w:t>Mean</w:t>
            </w:r>
          </w:p>
        </w:tc>
        <w:tc>
          <w:tcPr>
            <w:tcW w:w="0" w:type="auto"/>
            <w:hideMark/>
          </w:tcPr>
          <w:p w:rsidR="0012521E" w:rsidRPr="005709A2" w:rsidRDefault="0012521E" w:rsidP="00691A73">
            <w:pPr>
              <w:spacing w:line="360" w:lineRule="auto"/>
              <w:jc w:val="center"/>
              <w:rPr>
                <w:rFonts w:cs="Segoe UI"/>
              </w:rPr>
            </w:pPr>
            <w:r w:rsidRPr="005709A2">
              <w:rPr>
                <w:rFonts w:cs="Segoe UI"/>
              </w:rPr>
              <w:t>3.0740%</w:t>
            </w:r>
          </w:p>
        </w:tc>
        <w:tc>
          <w:tcPr>
            <w:tcW w:w="0" w:type="auto"/>
            <w:hideMark/>
          </w:tcPr>
          <w:p w:rsidR="0012521E" w:rsidRPr="005709A2" w:rsidRDefault="0012521E" w:rsidP="00691A73">
            <w:pPr>
              <w:spacing w:line="360" w:lineRule="auto"/>
              <w:jc w:val="center"/>
              <w:rPr>
                <w:rFonts w:cs="Segoe UI"/>
              </w:rPr>
            </w:pPr>
            <w:r w:rsidRPr="005709A2">
              <w:rPr>
                <w:rFonts w:cs="Segoe UI"/>
              </w:rPr>
              <w:t>Rata-rata selama 5 tahun</w:t>
            </w:r>
          </w:p>
        </w:tc>
      </w:tr>
      <w:tr w:rsidR="0012521E" w:rsidRPr="005709A2" w:rsidTr="00691A73">
        <w:trPr>
          <w:trHeight w:val="20"/>
          <w:jc w:val="center"/>
        </w:trPr>
        <w:tc>
          <w:tcPr>
            <w:tcW w:w="0" w:type="auto"/>
            <w:hideMark/>
          </w:tcPr>
          <w:p w:rsidR="0012521E" w:rsidRPr="005709A2" w:rsidRDefault="0012521E" w:rsidP="00691A73">
            <w:pPr>
              <w:spacing w:line="360" w:lineRule="auto"/>
              <w:jc w:val="center"/>
              <w:rPr>
                <w:rFonts w:cs="Segoe UI"/>
              </w:rPr>
            </w:pPr>
            <w:r w:rsidRPr="005709A2">
              <w:rPr>
                <w:rFonts w:cs="Segoe UI"/>
              </w:rPr>
              <w:t>Std. Deviation</w:t>
            </w:r>
          </w:p>
        </w:tc>
        <w:tc>
          <w:tcPr>
            <w:tcW w:w="0" w:type="auto"/>
            <w:hideMark/>
          </w:tcPr>
          <w:p w:rsidR="0012521E" w:rsidRPr="005709A2" w:rsidRDefault="0012521E" w:rsidP="00691A73">
            <w:pPr>
              <w:spacing w:line="360" w:lineRule="auto"/>
              <w:jc w:val="center"/>
              <w:rPr>
                <w:rFonts w:cs="Segoe UI"/>
              </w:rPr>
            </w:pPr>
            <w:r w:rsidRPr="005709A2">
              <w:rPr>
                <w:rFonts w:cs="Segoe UI"/>
              </w:rPr>
              <w:t>0.75295</w:t>
            </w:r>
          </w:p>
        </w:tc>
        <w:tc>
          <w:tcPr>
            <w:tcW w:w="0" w:type="auto"/>
            <w:hideMark/>
          </w:tcPr>
          <w:p w:rsidR="0012521E" w:rsidRPr="005709A2" w:rsidRDefault="0012521E" w:rsidP="00691A73">
            <w:pPr>
              <w:spacing w:line="360" w:lineRule="auto"/>
              <w:jc w:val="center"/>
              <w:rPr>
                <w:rFonts w:cs="Segoe UI"/>
              </w:rPr>
            </w:pPr>
            <w:r w:rsidRPr="005709A2">
              <w:rPr>
                <w:rFonts w:cs="Segoe UI"/>
              </w:rPr>
              <w:t>Sebaran data relatif kecil</w:t>
            </w:r>
          </w:p>
        </w:tc>
      </w:tr>
    </w:tbl>
    <w:p w:rsidR="0012521E" w:rsidRPr="005709A2" w:rsidRDefault="0012521E" w:rsidP="0012521E">
      <w:pPr>
        <w:pStyle w:val="ListParagraph"/>
        <w:spacing w:after="0" w:line="360" w:lineRule="auto"/>
        <w:ind w:left="567" w:firstLine="567"/>
        <w:rPr>
          <w:rFonts w:cs="Segoe UI"/>
        </w:rPr>
      </w:pPr>
      <w:r w:rsidRPr="005709A2">
        <w:rPr>
          <w:rFonts w:cs="Segoe UI"/>
        </w:rPr>
        <w:t xml:space="preserve">NPL Gross Bank Papua selama periode 2020–2024 memiliki nilai rata-rata sebesar 3.0740% dengan standar deviasi 0.75295. Nilai minimum sebesar 2.36% dan maksimum 4.17%. Standar deviasi yang lebih kecil dari mean menunjukkan bahwa sebaran data NPL tidak terlalu bervariasi, yang berarti Bank Papua konsisten dalam menjaga kualitas kreditnya di bawah batas maksimum regulator (5%). Nilai skewness sebesar 0.681 (positif) menunjukkan distribusi data condong ke kanan, sedangkan kurtosis sebesar -0.572 (negatif) menunjukkan distribusi cenderung </w:t>
      </w:r>
      <w:r w:rsidRPr="005709A2">
        <w:rPr>
          <w:rFonts w:cs="Segoe UI"/>
          <w:i/>
          <w:iCs/>
        </w:rPr>
        <w:t>platykurtic</w:t>
      </w:r>
      <w:r w:rsidRPr="005709A2">
        <w:rPr>
          <w:rFonts w:cs="Segoe UI"/>
        </w:rPr>
        <w:t xml:space="preserve"> (lebih datar dari kurva normal).</w:t>
      </w:r>
    </w:p>
    <w:p w:rsidR="0012521E" w:rsidRPr="005709A2" w:rsidRDefault="0012521E" w:rsidP="0012521E">
      <w:pPr>
        <w:pStyle w:val="ListParagraph"/>
        <w:spacing w:after="0" w:line="360" w:lineRule="auto"/>
        <w:ind w:left="567" w:firstLine="567"/>
        <w:rPr>
          <w:rFonts w:cs="Segoe UI"/>
        </w:rPr>
      </w:pPr>
    </w:p>
    <w:p w:rsidR="0012521E" w:rsidRPr="005709A2" w:rsidRDefault="0012521E" w:rsidP="0012521E">
      <w:pPr>
        <w:pStyle w:val="ListParagraph"/>
        <w:numPr>
          <w:ilvl w:val="0"/>
          <w:numId w:val="11"/>
        </w:numPr>
        <w:spacing w:after="0" w:line="360" w:lineRule="auto"/>
        <w:ind w:left="1134" w:hanging="567"/>
        <w:rPr>
          <w:rFonts w:cs="Segoe UI"/>
          <w:b/>
          <w:bCs/>
        </w:rPr>
      </w:pPr>
      <w:r w:rsidRPr="005709A2">
        <w:rPr>
          <w:rFonts w:cs="Segoe UI"/>
          <w:b/>
          <w:bCs/>
        </w:rPr>
        <w:t>NPL Net</w:t>
      </w:r>
    </w:p>
    <w:tbl>
      <w:tblPr>
        <w:tblStyle w:val="TableGrid"/>
        <w:tblW w:w="0" w:type="auto"/>
        <w:jc w:val="center"/>
        <w:tblLook w:val="04A0"/>
      </w:tblPr>
      <w:tblGrid>
        <w:gridCol w:w="1567"/>
        <w:gridCol w:w="1037"/>
        <w:gridCol w:w="3716"/>
      </w:tblGrid>
      <w:tr w:rsidR="0012521E" w:rsidRPr="005709A2" w:rsidTr="00691A73">
        <w:trPr>
          <w:jc w:val="center"/>
        </w:trPr>
        <w:tc>
          <w:tcPr>
            <w:tcW w:w="0" w:type="auto"/>
            <w:hideMark/>
          </w:tcPr>
          <w:p w:rsidR="0012521E" w:rsidRPr="005709A2" w:rsidRDefault="0012521E" w:rsidP="00691A73">
            <w:pPr>
              <w:spacing w:line="360" w:lineRule="auto"/>
              <w:jc w:val="center"/>
              <w:rPr>
                <w:rFonts w:cs="Segoe UI"/>
                <w:b/>
                <w:bCs/>
              </w:rPr>
            </w:pPr>
            <w:r w:rsidRPr="005709A2">
              <w:rPr>
                <w:rFonts w:cs="Segoe UI"/>
                <w:b/>
                <w:bCs/>
              </w:rPr>
              <w:t>Statistik</w:t>
            </w:r>
          </w:p>
        </w:tc>
        <w:tc>
          <w:tcPr>
            <w:tcW w:w="0" w:type="auto"/>
            <w:hideMark/>
          </w:tcPr>
          <w:p w:rsidR="0012521E" w:rsidRPr="005709A2" w:rsidRDefault="0012521E" w:rsidP="00691A73">
            <w:pPr>
              <w:spacing w:line="360" w:lineRule="auto"/>
              <w:jc w:val="center"/>
              <w:rPr>
                <w:rFonts w:cs="Segoe UI"/>
                <w:b/>
                <w:bCs/>
              </w:rPr>
            </w:pPr>
            <w:r w:rsidRPr="005709A2">
              <w:rPr>
                <w:rFonts w:cs="Segoe UI"/>
                <w:b/>
                <w:bCs/>
              </w:rPr>
              <w:t>Nilai</w:t>
            </w:r>
          </w:p>
        </w:tc>
        <w:tc>
          <w:tcPr>
            <w:tcW w:w="0" w:type="auto"/>
            <w:hideMark/>
          </w:tcPr>
          <w:p w:rsidR="0012521E" w:rsidRPr="005709A2" w:rsidRDefault="0012521E" w:rsidP="00691A73">
            <w:pPr>
              <w:spacing w:line="360" w:lineRule="auto"/>
              <w:jc w:val="center"/>
              <w:rPr>
                <w:rFonts w:cs="Segoe UI"/>
                <w:b/>
                <w:bCs/>
              </w:rPr>
            </w:pPr>
            <w:r w:rsidRPr="005709A2">
              <w:rPr>
                <w:rFonts w:cs="Segoe UI"/>
                <w:b/>
                <w:bCs/>
              </w:rPr>
              <w:t>Keterangan</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N</w:t>
            </w:r>
          </w:p>
        </w:tc>
        <w:tc>
          <w:tcPr>
            <w:tcW w:w="0" w:type="auto"/>
            <w:hideMark/>
          </w:tcPr>
          <w:p w:rsidR="0012521E" w:rsidRPr="005709A2" w:rsidRDefault="0012521E" w:rsidP="00691A73">
            <w:pPr>
              <w:spacing w:line="360" w:lineRule="auto"/>
              <w:jc w:val="center"/>
              <w:rPr>
                <w:rFonts w:cs="Segoe UI"/>
              </w:rPr>
            </w:pPr>
            <w:r w:rsidRPr="005709A2">
              <w:rPr>
                <w:rFonts w:cs="Segoe UI"/>
              </w:rPr>
              <w:t>5</w:t>
            </w:r>
          </w:p>
        </w:tc>
        <w:tc>
          <w:tcPr>
            <w:tcW w:w="0" w:type="auto"/>
            <w:hideMark/>
          </w:tcPr>
          <w:p w:rsidR="0012521E" w:rsidRPr="005709A2" w:rsidRDefault="0012521E" w:rsidP="00691A73">
            <w:pPr>
              <w:spacing w:line="360" w:lineRule="auto"/>
              <w:jc w:val="center"/>
              <w:rPr>
                <w:rFonts w:cs="Segoe UI"/>
              </w:rPr>
            </w:pPr>
            <w:r w:rsidRPr="005709A2">
              <w:rPr>
                <w:rFonts w:cs="Segoe UI"/>
              </w:rPr>
              <w:t>Jumlah observasi (tahun 2020-2024)</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Minimum</w:t>
            </w:r>
          </w:p>
        </w:tc>
        <w:tc>
          <w:tcPr>
            <w:tcW w:w="0" w:type="auto"/>
            <w:hideMark/>
          </w:tcPr>
          <w:p w:rsidR="0012521E" w:rsidRPr="005709A2" w:rsidRDefault="0012521E" w:rsidP="00691A73">
            <w:pPr>
              <w:spacing w:line="360" w:lineRule="auto"/>
              <w:jc w:val="center"/>
              <w:rPr>
                <w:rFonts w:cs="Segoe UI"/>
              </w:rPr>
            </w:pPr>
            <w:r w:rsidRPr="005709A2">
              <w:rPr>
                <w:rFonts w:cs="Segoe UI"/>
              </w:rPr>
              <w:t>0.63%</w:t>
            </w:r>
          </w:p>
        </w:tc>
        <w:tc>
          <w:tcPr>
            <w:tcW w:w="0" w:type="auto"/>
            <w:hideMark/>
          </w:tcPr>
          <w:p w:rsidR="0012521E" w:rsidRPr="005709A2" w:rsidRDefault="0012521E" w:rsidP="00691A73">
            <w:pPr>
              <w:spacing w:line="360" w:lineRule="auto"/>
              <w:jc w:val="center"/>
              <w:rPr>
                <w:rFonts w:cs="Segoe UI"/>
              </w:rPr>
            </w:pPr>
            <w:r w:rsidRPr="005709A2">
              <w:rPr>
                <w:rFonts w:cs="Segoe UI"/>
              </w:rPr>
              <w:t>Terendah pada tahun 2024</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Maximum</w:t>
            </w:r>
          </w:p>
        </w:tc>
        <w:tc>
          <w:tcPr>
            <w:tcW w:w="0" w:type="auto"/>
            <w:hideMark/>
          </w:tcPr>
          <w:p w:rsidR="0012521E" w:rsidRPr="005709A2" w:rsidRDefault="0012521E" w:rsidP="00691A73">
            <w:pPr>
              <w:spacing w:line="360" w:lineRule="auto"/>
              <w:jc w:val="center"/>
              <w:rPr>
                <w:rFonts w:cs="Segoe UI"/>
              </w:rPr>
            </w:pPr>
            <w:r w:rsidRPr="005709A2">
              <w:rPr>
                <w:rFonts w:cs="Segoe UI"/>
              </w:rPr>
              <w:t>1.39%</w:t>
            </w:r>
          </w:p>
        </w:tc>
        <w:tc>
          <w:tcPr>
            <w:tcW w:w="0" w:type="auto"/>
            <w:hideMark/>
          </w:tcPr>
          <w:p w:rsidR="0012521E" w:rsidRPr="005709A2" w:rsidRDefault="0012521E" w:rsidP="00691A73">
            <w:pPr>
              <w:spacing w:line="360" w:lineRule="auto"/>
              <w:jc w:val="center"/>
              <w:rPr>
                <w:rFonts w:cs="Segoe UI"/>
              </w:rPr>
            </w:pPr>
            <w:r w:rsidRPr="005709A2">
              <w:rPr>
                <w:rFonts w:cs="Segoe UI"/>
              </w:rPr>
              <w:t>Tertinggi pada tahun 2020</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Mean</w:t>
            </w:r>
          </w:p>
        </w:tc>
        <w:tc>
          <w:tcPr>
            <w:tcW w:w="0" w:type="auto"/>
            <w:hideMark/>
          </w:tcPr>
          <w:p w:rsidR="0012521E" w:rsidRPr="005709A2" w:rsidRDefault="0012521E" w:rsidP="00691A73">
            <w:pPr>
              <w:spacing w:line="360" w:lineRule="auto"/>
              <w:jc w:val="center"/>
              <w:rPr>
                <w:rFonts w:cs="Segoe UI"/>
              </w:rPr>
            </w:pPr>
            <w:r w:rsidRPr="005709A2">
              <w:rPr>
                <w:rFonts w:cs="Segoe UI"/>
              </w:rPr>
              <w:t>0.9620%</w:t>
            </w:r>
          </w:p>
        </w:tc>
        <w:tc>
          <w:tcPr>
            <w:tcW w:w="0" w:type="auto"/>
            <w:hideMark/>
          </w:tcPr>
          <w:p w:rsidR="0012521E" w:rsidRPr="005709A2" w:rsidRDefault="0012521E" w:rsidP="00691A73">
            <w:pPr>
              <w:spacing w:line="360" w:lineRule="auto"/>
              <w:jc w:val="center"/>
              <w:rPr>
                <w:rFonts w:cs="Segoe UI"/>
              </w:rPr>
            </w:pPr>
            <w:r w:rsidRPr="005709A2">
              <w:rPr>
                <w:rFonts w:cs="Segoe UI"/>
              </w:rPr>
              <w:t>Rata-rata selama 5 tahun</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Std. Deviation</w:t>
            </w:r>
          </w:p>
        </w:tc>
        <w:tc>
          <w:tcPr>
            <w:tcW w:w="0" w:type="auto"/>
            <w:hideMark/>
          </w:tcPr>
          <w:p w:rsidR="0012521E" w:rsidRPr="005709A2" w:rsidRDefault="0012521E" w:rsidP="00691A73">
            <w:pPr>
              <w:spacing w:line="360" w:lineRule="auto"/>
              <w:jc w:val="center"/>
              <w:rPr>
                <w:rFonts w:cs="Segoe UI"/>
              </w:rPr>
            </w:pPr>
            <w:r w:rsidRPr="005709A2">
              <w:rPr>
                <w:rFonts w:cs="Segoe UI"/>
              </w:rPr>
              <w:t>0.31547</w:t>
            </w:r>
          </w:p>
        </w:tc>
        <w:tc>
          <w:tcPr>
            <w:tcW w:w="0" w:type="auto"/>
            <w:hideMark/>
          </w:tcPr>
          <w:p w:rsidR="0012521E" w:rsidRPr="005709A2" w:rsidRDefault="0012521E" w:rsidP="00691A73">
            <w:pPr>
              <w:spacing w:line="360" w:lineRule="auto"/>
              <w:jc w:val="center"/>
              <w:rPr>
                <w:rFonts w:cs="Segoe UI"/>
              </w:rPr>
            </w:pPr>
            <w:r w:rsidRPr="005709A2">
              <w:rPr>
                <w:rFonts w:cs="Segoe UI"/>
              </w:rPr>
              <w:t>Sebaran data relatif kecil</w:t>
            </w:r>
          </w:p>
        </w:tc>
      </w:tr>
    </w:tbl>
    <w:p w:rsidR="0012521E" w:rsidRPr="005709A2" w:rsidRDefault="0012521E" w:rsidP="0012521E">
      <w:pPr>
        <w:pStyle w:val="ListParagraph"/>
        <w:spacing w:after="0" w:line="360" w:lineRule="auto"/>
        <w:ind w:left="567" w:firstLine="567"/>
        <w:rPr>
          <w:rFonts w:cs="Segoe UI"/>
        </w:rPr>
      </w:pPr>
    </w:p>
    <w:p w:rsidR="0012521E" w:rsidRPr="005709A2" w:rsidRDefault="0012521E" w:rsidP="0012521E">
      <w:pPr>
        <w:pStyle w:val="ListParagraph"/>
        <w:spacing w:after="0" w:line="360" w:lineRule="auto"/>
        <w:ind w:left="567" w:firstLine="567"/>
        <w:rPr>
          <w:rFonts w:cs="Segoe UI"/>
        </w:rPr>
      </w:pPr>
      <w:r w:rsidRPr="005709A2">
        <w:rPr>
          <w:rFonts w:cs="Segoe UI"/>
        </w:rPr>
        <w:t>NPL Net Bank Papua memiliki nilai rata-rata 0.9620% dengan standar deviasi 0.31547. Nilai minimum sebesar 0.63% dan maksimum 1.39%. Angka ini menunjukkan bahwa setelah memperhitungkan cadangan kerugian penurunan nilai, rasio kredit bermasalah Bank Papua sangat rendah, mencerminkan kualitas aset yang sehat. Nilai skewness 0.250 mendekati nol menunjukkan distribusi hampir simetris, sedangkan kurtosis -1.289 menunjukkan distribusi datar.</w:t>
      </w:r>
    </w:p>
    <w:p w:rsidR="0012521E" w:rsidRDefault="0012521E" w:rsidP="0012521E">
      <w:pPr>
        <w:pStyle w:val="ListParagraph"/>
        <w:spacing w:after="0" w:line="360" w:lineRule="auto"/>
        <w:ind w:left="567" w:firstLine="567"/>
        <w:rPr>
          <w:rFonts w:cs="Segoe UI"/>
          <w:lang w:val="en-US"/>
        </w:rPr>
      </w:pPr>
    </w:p>
    <w:p w:rsidR="00482D96" w:rsidRPr="00482D96" w:rsidRDefault="00482D96" w:rsidP="0012521E">
      <w:pPr>
        <w:pStyle w:val="ListParagraph"/>
        <w:spacing w:after="0" w:line="360" w:lineRule="auto"/>
        <w:ind w:left="567" w:firstLine="567"/>
        <w:rPr>
          <w:rFonts w:cs="Segoe UI"/>
          <w:lang w:val="en-US"/>
        </w:rPr>
      </w:pPr>
    </w:p>
    <w:p w:rsidR="0012521E" w:rsidRPr="005709A2" w:rsidRDefault="0012521E" w:rsidP="0012521E">
      <w:pPr>
        <w:pStyle w:val="ListParagraph"/>
        <w:numPr>
          <w:ilvl w:val="0"/>
          <w:numId w:val="11"/>
        </w:numPr>
        <w:spacing w:after="0" w:line="360" w:lineRule="auto"/>
        <w:ind w:left="1134" w:hanging="567"/>
        <w:rPr>
          <w:rFonts w:cs="Segoe UI"/>
          <w:b/>
          <w:bCs/>
        </w:rPr>
      </w:pPr>
      <w:r w:rsidRPr="005709A2">
        <w:rPr>
          <w:rFonts w:cs="Segoe UI"/>
          <w:b/>
          <w:bCs/>
        </w:rPr>
        <w:lastRenderedPageBreak/>
        <w:t>Return on Assets (ROA)</w:t>
      </w:r>
    </w:p>
    <w:tbl>
      <w:tblPr>
        <w:tblStyle w:val="TableGrid"/>
        <w:tblW w:w="0" w:type="auto"/>
        <w:jc w:val="center"/>
        <w:tblLook w:val="04A0"/>
      </w:tblPr>
      <w:tblGrid>
        <w:gridCol w:w="1567"/>
        <w:gridCol w:w="1037"/>
        <w:gridCol w:w="3716"/>
      </w:tblGrid>
      <w:tr w:rsidR="0012521E" w:rsidRPr="005709A2" w:rsidTr="00691A73">
        <w:trPr>
          <w:jc w:val="center"/>
        </w:trPr>
        <w:tc>
          <w:tcPr>
            <w:tcW w:w="0" w:type="auto"/>
            <w:hideMark/>
          </w:tcPr>
          <w:p w:rsidR="0012521E" w:rsidRPr="005709A2" w:rsidRDefault="0012521E" w:rsidP="00691A73">
            <w:pPr>
              <w:spacing w:line="360" w:lineRule="auto"/>
              <w:jc w:val="center"/>
              <w:rPr>
                <w:rFonts w:cs="Segoe UI"/>
                <w:b/>
                <w:bCs/>
              </w:rPr>
            </w:pPr>
            <w:r w:rsidRPr="005709A2">
              <w:rPr>
                <w:rFonts w:cs="Segoe UI"/>
                <w:b/>
                <w:bCs/>
              </w:rPr>
              <w:t>Statistik</w:t>
            </w:r>
          </w:p>
        </w:tc>
        <w:tc>
          <w:tcPr>
            <w:tcW w:w="0" w:type="auto"/>
            <w:hideMark/>
          </w:tcPr>
          <w:p w:rsidR="0012521E" w:rsidRPr="005709A2" w:rsidRDefault="0012521E" w:rsidP="00691A73">
            <w:pPr>
              <w:spacing w:line="360" w:lineRule="auto"/>
              <w:jc w:val="center"/>
              <w:rPr>
                <w:rFonts w:cs="Segoe UI"/>
                <w:b/>
                <w:bCs/>
              </w:rPr>
            </w:pPr>
            <w:r w:rsidRPr="005709A2">
              <w:rPr>
                <w:rFonts w:cs="Segoe UI"/>
                <w:b/>
                <w:bCs/>
              </w:rPr>
              <w:t>Nilai</w:t>
            </w:r>
          </w:p>
        </w:tc>
        <w:tc>
          <w:tcPr>
            <w:tcW w:w="0" w:type="auto"/>
            <w:hideMark/>
          </w:tcPr>
          <w:p w:rsidR="0012521E" w:rsidRPr="005709A2" w:rsidRDefault="0012521E" w:rsidP="00691A73">
            <w:pPr>
              <w:spacing w:line="360" w:lineRule="auto"/>
              <w:jc w:val="center"/>
              <w:rPr>
                <w:rFonts w:cs="Segoe UI"/>
                <w:b/>
                <w:bCs/>
              </w:rPr>
            </w:pPr>
            <w:r w:rsidRPr="005709A2">
              <w:rPr>
                <w:rFonts w:cs="Segoe UI"/>
                <w:b/>
                <w:bCs/>
              </w:rPr>
              <w:t>Keterangan</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N</w:t>
            </w:r>
          </w:p>
        </w:tc>
        <w:tc>
          <w:tcPr>
            <w:tcW w:w="0" w:type="auto"/>
            <w:hideMark/>
          </w:tcPr>
          <w:p w:rsidR="0012521E" w:rsidRPr="005709A2" w:rsidRDefault="0012521E" w:rsidP="00691A73">
            <w:pPr>
              <w:spacing w:line="360" w:lineRule="auto"/>
              <w:jc w:val="center"/>
              <w:rPr>
                <w:rFonts w:cs="Segoe UI"/>
              </w:rPr>
            </w:pPr>
            <w:r w:rsidRPr="005709A2">
              <w:rPr>
                <w:rFonts w:cs="Segoe UI"/>
              </w:rPr>
              <w:t>5</w:t>
            </w:r>
          </w:p>
        </w:tc>
        <w:tc>
          <w:tcPr>
            <w:tcW w:w="0" w:type="auto"/>
            <w:hideMark/>
          </w:tcPr>
          <w:p w:rsidR="0012521E" w:rsidRPr="005709A2" w:rsidRDefault="0012521E" w:rsidP="00691A73">
            <w:pPr>
              <w:spacing w:line="360" w:lineRule="auto"/>
              <w:jc w:val="center"/>
              <w:rPr>
                <w:rFonts w:cs="Segoe UI"/>
              </w:rPr>
            </w:pPr>
            <w:r w:rsidRPr="005709A2">
              <w:rPr>
                <w:rFonts w:cs="Segoe UI"/>
              </w:rPr>
              <w:t>Jumlah observasi (tahun 2020-2024)</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Minimum</w:t>
            </w:r>
          </w:p>
        </w:tc>
        <w:tc>
          <w:tcPr>
            <w:tcW w:w="0" w:type="auto"/>
            <w:hideMark/>
          </w:tcPr>
          <w:p w:rsidR="0012521E" w:rsidRPr="005709A2" w:rsidRDefault="0012521E" w:rsidP="00691A73">
            <w:pPr>
              <w:spacing w:line="360" w:lineRule="auto"/>
              <w:jc w:val="center"/>
              <w:rPr>
                <w:rFonts w:cs="Segoe UI"/>
              </w:rPr>
            </w:pPr>
            <w:r w:rsidRPr="005709A2">
              <w:rPr>
                <w:rFonts w:cs="Segoe UI"/>
              </w:rPr>
              <w:t>1.62%</w:t>
            </w:r>
          </w:p>
        </w:tc>
        <w:tc>
          <w:tcPr>
            <w:tcW w:w="0" w:type="auto"/>
            <w:hideMark/>
          </w:tcPr>
          <w:p w:rsidR="0012521E" w:rsidRPr="005709A2" w:rsidRDefault="0012521E" w:rsidP="00691A73">
            <w:pPr>
              <w:spacing w:line="360" w:lineRule="auto"/>
              <w:jc w:val="center"/>
              <w:rPr>
                <w:rFonts w:cs="Segoe UI"/>
              </w:rPr>
            </w:pPr>
            <w:r w:rsidRPr="005709A2">
              <w:rPr>
                <w:rFonts w:cs="Segoe UI"/>
              </w:rPr>
              <w:t>Terendah pada tahun 2023</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Maximum</w:t>
            </w:r>
          </w:p>
        </w:tc>
        <w:tc>
          <w:tcPr>
            <w:tcW w:w="0" w:type="auto"/>
            <w:hideMark/>
          </w:tcPr>
          <w:p w:rsidR="0012521E" w:rsidRPr="005709A2" w:rsidRDefault="0012521E" w:rsidP="00691A73">
            <w:pPr>
              <w:spacing w:line="360" w:lineRule="auto"/>
              <w:jc w:val="center"/>
              <w:rPr>
                <w:rFonts w:cs="Segoe UI"/>
              </w:rPr>
            </w:pPr>
            <w:r w:rsidRPr="005709A2">
              <w:rPr>
                <w:rFonts w:cs="Segoe UI"/>
              </w:rPr>
              <w:t>1.89%</w:t>
            </w:r>
          </w:p>
        </w:tc>
        <w:tc>
          <w:tcPr>
            <w:tcW w:w="0" w:type="auto"/>
            <w:hideMark/>
          </w:tcPr>
          <w:p w:rsidR="0012521E" w:rsidRPr="005709A2" w:rsidRDefault="0012521E" w:rsidP="00691A73">
            <w:pPr>
              <w:spacing w:line="360" w:lineRule="auto"/>
              <w:jc w:val="center"/>
              <w:rPr>
                <w:rFonts w:cs="Segoe UI"/>
              </w:rPr>
            </w:pPr>
            <w:r w:rsidRPr="005709A2">
              <w:rPr>
                <w:rFonts w:cs="Segoe UI"/>
              </w:rPr>
              <w:t>Tertinggi pada tahun 2024</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Mean</w:t>
            </w:r>
          </w:p>
        </w:tc>
        <w:tc>
          <w:tcPr>
            <w:tcW w:w="0" w:type="auto"/>
            <w:hideMark/>
          </w:tcPr>
          <w:p w:rsidR="0012521E" w:rsidRPr="005709A2" w:rsidRDefault="0012521E" w:rsidP="00691A73">
            <w:pPr>
              <w:spacing w:line="360" w:lineRule="auto"/>
              <w:jc w:val="center"/>
              <w:rPr>
                <w:rFonts w:cs="Segoe UI"/>
              </w:rPr>
            </w:pPr>
            <w:r w:rsidRPr="005709A2">
              <w:rPr>
                <w:rFonts w:cs="Segoe UI"/>
              </w:rPr>
              <w:t>1.7520%</w:t>
            </w:r>
          </w:p>
        </w:tc>
        <w:tc>
          <w:tcPr>
            <w:tcW w:w="0" w:type="auto"/>
            <w:hideMark/>
          </w:tcPr>
          <w:p w:rsidR="0012521E" w:rsidRPr="005709A2" w:rsidRDefault="0012521E" w:rsidP="00691A73">
            <w:pPr>
              <w:spacing w:line="360" w:lineRule="auto"/>
              <w:jc w:val="center"/>
              <w:rPr>
                <w:rFonts w:cs="Segoe UI"/>
              </w:rPr>
            </w:pPr>
            <w:r w:rsidRPr="005709A2">
              <w:rPr>
                <w:rFonts w:cs="Segoe UI"/>
              </w:rPr>
              <w:t>Rata-rata selama 5 tahun</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Std. Deviation</w:t>
            </w:r>
          </w:p>
        </w:tc>
        <w:tc>
          <w:tcPr>
            <w:tcW w:w="0" w:type="auto"/>
            <w:hideMark/>
          </w:tcPr>
          <w:p w:rsidR="0012521E" w:rsidRPr="005709A2" w:rsidRDefault="0012521E" w:rsidP="00691A73">
            <w:pPr>
              <w:spacing w:line="360" w:lineRule="auto"/>
              <w:jc w:val="center"/>
              <w:rPr>
                <w:rFonts w:cs="Segoe UI"/>
              </w:rPr>
            </w:pPr>
            <w:r w:rsidRPr="005709A2">
              <w:rPr>
                <w:rFonts w:cs="Segoe UI"/>
              </w:rPr>
              <w:t>0.10941</w:t>
            </w:r>
          </w:p>
        </w:tc>
        <w:tc>
          <w:tcPr>
            <w:tcW w:w="0" w:type="auto"/>
            <w:hideMark/>
          </w:tcPr>
          <w:p w:rsidR="0012521E" w:rsidRPr="005709A2" w:rsidRDefault="0012521E" w:rsidP="00691A73">
            <w:pPr>
              <w:spacing w:line="360" w:lineRule="auto"/>
              <w:jc w:val="center"/>
              <w:rPr>
                <w:rFonts w:cs="Segoe UI"/>
              </w:rPr>
            </w:pPr>
            <w:r w:rsidRPr="005709A2">
              <w:rPr>
                <w:rFonts w:cs="Segoe UI"/>
              </w:rPr>
              <w:t>Sebaran data sangat kecil</w:t>
            </w:r>
          </w:p>
        </w:tc>
      </w:tr>
    </w:tbl>
    <w:p w:rsidR="0012521E" w:rsidRPr="005709A2" w:rsidRDefault="0012521E" w:rsidP="0012521E">
      <w:pPr>
        <w:pStyle w:val="ListParagraph"/>
        <w:spacing w:after="0" w:line="360" w:lineRule="auto"/>
        <w:ind w:left="567" w:firstLine="567"/>
        <w:rPr>
          <w:rFonts w:cs="Segoe UI"/>
        </w:rPr>
      </w:pPr>
    </w:p>
    <w:p w:rsidR="0012521E" w:rsidRPr="005709A2" w:rsidRDefault="0012521E" w:rsidP="0012521E">
      <w:pPr>
        <w:pStyle w:val="ListParagraph"/>
        <w:spacing w:after="0" w:line="360" w:lineRule="auto"/>
        <w:ind w:left="567" w:firstLine="567"/>
        <w:rPr>
          <w:rFonts w:cs="Segoe UI"/>
        </w:rPr>
      </w:pPr>
      <w:r w:rsidRPr="005709A2">
        <w:rPr>
          <w:rFonts w:cs="Segoe UI"/>
        </w:rPr>
        <w:t>ROA Bank Papua memiliki nilai rata-rata 1.7520% dengan standar deviasi 0.10941. Standar deviasi yang sangat kecil menunjukkan bahwa profitabilitas Bank Papua dalam menghasilkan laba dari asetnya relatif stabil selama periode penelitian. Nilai minimum 1.62% dan maksimum 1.89%. Rata-rata ROA sebesar 1.75% masih berada di atas ketentuan Bank Indonesia (≥ 1.5%). Nilai skewness 0.029 hampir nol menunjukkan distribusi simetris sempurna, sedangkan kurtosis -1.606 menunjukkan distribusi platykurtic.</w:t>
      </w:r>
    </w:p>
    <w:p w:rsidR="0012521E" w:rsidRPr="005709A2" w:rsidRDefault="0012521E" w:rsidP="0012521E">
      <w:pPr>
        <w:pStyle w:val="ListParagraph"/>
        <w:spacing w:line="360" w:lineRule="auto"/>
        <w:ind w:left="567" w:firstLine="567"/>
        <w:rPr>
          <w:rFonts w:cs="Segoe UI"/>
        </w:rPr>
      </w:pPr>
    </w:p>
    <w:p w:rsidR="0012521E" w:rsidRPr="005709A2" w:rsidRDefault="0012521E" w:rsidP="0012521E">
      <w:pPr>
        <w:pStyle w:val="ListParagraph"/>
        <w:numPr>
          <w:ilvl w:val="0"/>
          <w:numId w:val="11"/>
        </w:numPr>
        <w:spacing w:after="0" w:line="360" w:lineRule="auto"/>
        <w:ind w:left="1134" w:hanging="567"/>
        <w:rPr>
          <w:rFonts w:cs="Segoe UI"/>
          <w:b/>
          <w:bCs/>
        </w:rPr>
      </w:pPr>
      <w:r w:rsidRPr="005709A2">
        <w:rPr>
          <w:rFonts w:cs="Segoe UI"/>
          <w:b/>
          <w:bCs/>
        </w:rPr>
        <w:t>Return on Equity (ROE)</w:t>
      </w:r>
    </w:p>
    <w:tbl>
      <w:tblPr>
        <w:tblStyle w:val="TableGrid"/>
        <w:tblW w:w="0" w:type="auto"/>
        <w:jc w:val="center"/>
        <w:tblLook w:val="04A0"/>
      </w:tblPr>
      <w:tblGrid>
        <w:gridCol w:w="1567"/>
        <w:gridCol w:w="1156"/>
        <w:gridCol w:w="3716"/>
      </w:tblGrid>
      <w:tr w:rsidR="0012521E" w:rsidRPr="005709A2" w:rsidTr="00691A73">
        <w:trPr>
          <w:jc w:val="center"/>
        </w:trPr>
        <w:tc>
          <w:tcPr>
            <w:tcW w:w="0" w:type="auto"/>
            <w:hideMark/>
          </w:tcPr>
          <w:p w:rsidR="0012521E" w:rsidRPr="005709A2" w:rsidRDefault="0012521E" w:rsidP="00691A73">
            <w:pPr>
              <w:spacing w:line="360" w:lineRule="auto"/>
              <w:jc w:val="center"/>
              <w:rPr>
                <w:rFonts w:cs="Segoe UI"/>
                <w:b/>
                <w:bCs/>
              </w:rPr>
            </w:pPr>
            <w:r w:rsidRPr="005709A2">
              <w:rPr>
                <w:rFonts w:cs="Segoe UI"/>
                <w:b/>
                <w:bCs/>
              </w:rPr>
              <w:t>Statistik</w:t>
            </w:r>
          </w:p>
        </w:tc>
        <w:tc>
          <w:tcPr>
            <w:tcW w:w="0" w:type="auto"/>
            <w:hideMark/>
          </w:tcPr>
          <w:p w:rsidR="0012521E" w:rsidRPr="005709A2" w:rsidRDefault="0012521E" w:rsidP="00691A73">
            <w:pPr>
              <w:spacing w:line="360" w:lineRule="auto"/>
              <w:jc w:val="center"/>
              <w:rPr>
                <w:rFonts w:cs="Segoe UI"/>
                <w:b/>
                <w:bCs/>
              </w:rPr>
            </w:pPr>
            <w:r w:rsidRPr="005709A2">
              <w:rPr>
                <w:rFonts w:cs="Segoe UI"/>
                <w:b/>
                <w:bCs/>
              </w:rPr>
              <w:t>Nilai</w:t>
            </w:r>
          </w:p>
        </w:tc>
        <w:tc>
          <w:tcPr>
            <w:tcW w:w="0" w:type="auto"/>
            <w:hideMark/>
          </w:tcPr>
          <w:p w:rsidR="0012521E" w:rsidRPr="005709A2" w:rsidRDefault="0012521E" w:rsidP="00691A73">
            <w:pPr>
              <w:spacing w:line="360" w:lineRule="auto"/>
              <w:jc w:val="center"/>
              <w:rPr>
                <w:rFonts w:cs="Segoe UI"/>
                <w:b/>
                <w:bCs/>
              </w:rPr>
            </w:pPr>
            <w:r w:rsidRPr="005709A2">
              <w:rPr>
                <w:rFonts w:cs="Segoe UI"/>
                <w:b/>
                <w:bCs/>
              </w:rPr>
              <w:t>Keterangan</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N</w:t>
            </w:r>
          </w:p>
        </w:tc>
        <w:tc>
          <w:tcPr>
            <w:tcW w:w="0" w:type="auto"/>
            <w:hideMark/>
          </w:tcPr>
          <w:p w:rsidR="0012521E" w:rsidRPr="005709A2" w:rsidRDefault="0012521E" w:rsidP="00691A73">
            <w:pPr>
              <w:spacing w:line="360" w:lineRule="auto"/>
              <w:jc w:val="center"/>
              <w:rPr>
                <w:rFonts w:cs="Segoe UI"/>
              </w:rPr>
            </w:pPr>
            <w:r w:rsidRPr="005709A2">
              <w:rPr>
                <w:rFonts w:cs="Segoe UI"/>
              </w:rPr>
              <w:t>5</w:t>
            </w:r>
          </w:p>
        </w:tc>
        <w:tc>
          <w:tcPr>
            <w:tcW w:w="0" w:type="auto"/>
            <w:hideMark/>
          </w:tcPr>
          <w:p w:rsidR="0012521E" w:rsidRPr="005709A2" w:rsidRDefault="0012521E" w:rsidP="00691A73">
            <w:pPr>
              <w:spacing w:line="360" w:lineRule="auto"/>
              <w:jc w:val="center"/>
              <w:rPr>
                <w:rFonts w:cs="Segoe UI"/>
              </w:rPr>
            </w:pPr>
            <w:r w:rsidRPr="005709A2">
              <w:rPr>
                <w:rFonts w:cs="Segoe UI"/>
              </w:rPr>
              <w:t>Jumlah observasi (tahun 2020-2024)</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Minimum</w:t>
            </w:r>
          </w:p>
        </w:tc>
        <w:tc>
          <w:tcPr>
            <w:tcW w:w="0" w:type="auto"/>
            <w:hideMark/>
          </w:tcPr>
          <w:p w:rsidR="0012521E" w:rsidRPr="005709A2" w:rsidRDefault="0012521E" w:rsidP="00691A73">
            <w:pPr>
              <w:spacing w:line="360" w:lineRule="auto"/>
              <w:jc w:val="center"/>
              <w:rPr>
                <w:rFonts w:cs="Segoe UI"/>
              </w:rPr>
            </w:pPr>
            <w:r w:rsidRPr="005709A2">
              <w:rPr>
                <w:rFonts w:cs="Segoe UI"/>
              </w:rPr>
              <w:t>10.74%</w:t>
            </w:r>
          </w:p>
        </w:tc>
        <w:tc>
          <w:tcPr>
            <w:tcW w:w="0" w:type="auto"/>
            <w:hideMark/>
          </w:tcPr>
          <w:p w:rsidR="0012521E" w:rsidRPr="005709A2" w:rsidRDefault="0012521E" w:rsidP="00691A73">
            <w:pPr>
              <w:spacing w:line="360" w:lineRule="auto"/>
              <w:jc w:val="center"/>
              <w:rPr>
                <w:rFonts w:cs="Segoe UI"/>
              </w:rPr>
            </w:pPr>
            <w:r w:rsidRPr="005709A2">
              <w:rPr>
                <w:rFonts w:cs="Segoe UI"/>
              </w:rPr>
              <w:t>Terendah pada tahun 2021</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Maximum</w:t>
            </w:r>
          </w:p>
        </w:tc>
        <w:tc>
          <w:tcPr>
            <w:tcW w:w="0" w:type="auto"/>
            <w:hideMark/>
          </w:tcPr>
          <w:p w:rsidR="0012521E" w:rsidRPr="005709A2" w:rsidRDefault="0012521E" w:rsidP="00691A73">
            <w:pPr>
              <w:spacing w:line="360" w:lineRule="auto"/>
              <w:jc w:val="center"/>
              <w:rPr>
                <w:rFonts w:cs="Segoe UI"/>
              </w:rPr>
            </w:pPr>
            <w:r w:rsidRPr="005709A2">
              <w:rPr>
                <w:rFonts w:cs="Segoe UI"/>
              </w:rPr>
              <w:t>14.28%</w:t>
            </w:r>
          </w:p>
        </w:tc>
        <w:tc>
          <w:tcPr>
            <w:tcW w:w="0" w:type="auto"/>
            <w:hideMark/>
          </w:tcPr>
          <w:p w:rsidR="0012521E" w:rsidRPr="005709A2" w:rsidRDefault="0012521E" w:rsidP="00691A73">
            <w:pPr>
              <w:spacing w:line="360" w:lineRule="auto"/>
              <w:jc w:val="center"/>
              <w:rPr>
                <w:rFonts w:cs="Segoe UI"/>
              </w:rPr>
            </w:pPr>
            <w:r w:rsidRPr="005709A2">
              <w:rPr>
                <w:rFonts w:cs="Segoe UI"/>
              </w:rPr>
              <w:t>Tertinggi pada tahun 2022</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Mean</w:t>
            </w:r>
          </w:p>
        </w:tc>
        <w:tc>
          <w:tcPr>
            <w:tcW w:w="0" w:type="auto"/>
            <w:hideMark/>
          </w:tcPr>
          <w:p w:rsidR="0012521E" w:rsidRPr="005709A2" w:rsidRDefault="0012521E" w:rsidP="00691A73">
            <w:pPr>
              <w:spacing w:line="360" w:lineRule="auto"/>
              <w:jc w:val="center"/>
              <w:rPr>
                <w:rFonts w:cs="Segoe UI"/>
              </w:rPr>
            </w:pPr>
            <w:r w:rsidRPr="005709A2">
              <w:rPr>
                <w:rFonts w:cs="Segoe UI"/>
              </w:rPr>
              <w:t>11.6040%</w:t>
            </w:r>
          </w:p>
        </w:tc>
        <w:tc>
          <w:tcPr>
            <w:tcW w:w="0" w:type="auto"/>
            <w:hideMark/>
          </w:tcPr>
          <w:p w:rsidR="0012521E" w:rsidRPr="005709A2" w:rsidRDefault="0012521E" w:rsidP="00691A73">
            <w:pPr>
              <w:spacing w:line="360" w:lineRule="auto"/>
              <w:jc w:val="center"/>
              <w:rPr>
                <w:rFonts w:cs="Segoe UI"/>
              </w:rPr>
            </w:pPr>
            <w:r w:rsidRPr="005709A2">
              <w:rPr>
                <w:rFonts w:cs="Segoe UI"/>
              </w:rPr>
              <w:t>Rata-rata selama 5 tahun</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Std. Deviation</w:t>
            </w:r>
          </w:p>
        </w:tc>
        <w:tc>
          <w:tcPr>
            <w:tcW w:w="0" w:type="auto"/>
            <w:hideMark/>
          </w:tcPr>
          <w:p w:rsidR="0012521E" w:rsidRPr="005709A2" w:rsidRDefault="0012521E" w:rsidP="00691A73">
            <w:pPr>
              <w:spacing w:line="360" w:lineRule="auto"/>
              <w:jc w:val="center"/>
              <w:rPr>
                <w:rFonts w:cs="Segoe UI"/>
              </w:rPr>
            </w:pPr>
            <w:r w:rsidRPr="005709A2">
              <w:rPr>
                <w:rFonts w:cs="Segoe UI"/>
              </w:rPr>
              <w:t>1.50103</w:t>
            </w:r>
          </w:p>
        </w:tc>
        <w:tc>
          <w:tcPr>
            <w:tcW w:w="0" w:type="auto"/>
            <w:hideMark/>
          </w:tcPr>
          <w:p w:rsidR="0012521E" w:rsidRPr="005709A2" w:rsidRDefault="0012521E" w:rsidP="00691A73">
            <w:pPr>
              <w:spacing w:line="360" w:lineRule="auto"/>
              <w:jc w:val="center"/>
              <w:rPr>
                <w:rFonts w:cs="Segoe UI"/>
              </w:rPr>
            </w:pPr>
            <w:r w:rsidRPr="005709A2">
              <w:rPr>
                <w:rFonts w:cs="Segoe UI"/>
              </w:rPr>
              <w:t>Sebaran data cukup besar</w:t>
            </w:r>
          </w:p>
        </w:tc>
      </w:tr>
    </w:tbl>
    <w:p w:rsidR="0012521E" w:rsidRPr="005709A2" w:rsidRDefault="0012521E" w:rsidP="0012521E">
      <w:pPr>
        <w:pStyle w:val="ListParagraph"/>
        <w:spacing w:after="0" w:line="360" w:lineRule="auto"/>
        <w:ind w:left="567" w:firstLine="567"/>
        <w:rPr>
          <w:rFonts w:cs="Segoe UI"/>
          <w:b/>
          <w:bCs/>
        </w:rPr>
      </w:pPr>
    </w:p>
    <w:p w:rsidR="0012521E" w:rsidRPr="005709A2" w:rsidRDefault="0012521E" w:rsidP="0012521E">
      <w:pPr>
        <w:pStyle w:val="ListParagraph"/>
        <w:spacing w:after="0" w:line="360" w:lineRule="auto"/>
        <w:ind w:left="567" w:firstLine="567"/>
        <w:rPr>
          <w:rFonts w:cs="Segoe UI"/>
        </w:rPr>
      </w:pPr>
      <w:r w:rsidRPr="005709A2">
        <w:rPr>
          <w:rFonts w:cs="Segoe UI"/>
        </w:rPr>
        <w:t>ROE Bank Papua memiliki nilai rata-rata 11.6040% dengan standar deviasi 1.50103. Standar deviasi yang lebih besar dibandingkan variabel lainnya menunjukkan bahwa ROE memiliki variabilitas yang lebih tinggi, mencerminkan fluktuasi imbal hasil bagi pemegang saham. Nilai minimum 10.74% dan maksimum 14.28% dengan puncak tertinggi pada tahun 2022. Nilai skewness 2.198 (positif) dan kurtosis 4.868 (positif) mengindikasikan distribusi yang menceng ke kanan dengan puncak yang lebih runcing (</w:t>
      </w:r>
      <w:r w:rsidRPr="005709A2">
        <w:rPr>
          <w:rFonts w:cs="Segoe UI"/>
          <w:i/>
          <w:iCs/>
        </w:rPr>
        <w:t>leptokurtic</w:t>
      </w:r>
      <w:r w:rsidRPr="005709A2">
        <w:rPr>
          <w:rFonts w:cs="Segoe UI"/>
        </w:rPr>
        <w:t>).</w:t>
      </w:r>
    </w:p>
    <w:p w:rsidR="0012521E" w:rsidRPr="005709A2" w:rsidRDefault="0012521E" w:rsidP="0012521E">
      <w:pPr>
        <w:pStyle w:val="ListParagraph"/>
        <w:spacing w:after="0" w:line="360" w:lineRule="auto"/>
        <w:ind w:left="567" w:firstLine="567"/>
        <w:rPr>
          <w:rFonts w:cs="Segoe UI"/>
        </w:rPr>
      </w:pPr>
    </w:p>
    <w:p w:rsidR="0012521E" w:rsidRPr="005709A2" w:rsidRDefault="0012521E" w:rsidP="0012521E">
      <w:pPr>
        <w:pStyle w:val="ListParagraph"/>
        <w:numPr>
          <w:ilvl w:val="0"/>
          <w:numId w:val="11"/>
        </w:numPr>
        <w:spacing w:after="0" w:line="360" w:lineRule="auto"/>
        <w:ind w:left="1134" w:hanging="567"/>
        <w:rPr>
          <w:rFonts w:cs="Segoe UI"/>
          <w:b/>
          <w:bCs/>
        </w:rPr>
      </w:pPr>
      <w:r w:rsidRPr="005709A2">
        <w:rPr>
          <w:rFonts w:cs="Segoe UI"/>
          <w:b/>
          <w:bCs/>
        </w:rPr>
        <w:lastRenderedPageBreak/>
        <w:t>Net Interest Margin (NIM)</w:t>
      </w:r>
    </w:p>
    <w:tbl>
      <w:tblPr>
        <w:tblStyle w:val="TableGrid"/>
        <w:tblW w:w="0" w:type="auto"/>
        <w:jc w:val="center"/>
        <w:tblLook w:val="04A0"/>
      </w:tblPr>
      <w:tblGrid>
        <w:gridCol w:w="1567"/>
        <w:gridCol w:w="1037"/>
        <w:gridCol w:w="3716"/>
      </w:tblGrid>
      <w:tr w:rsidR="0012521E" w:rsidRPr="005709A2" w:rsidTr="00691A73">
        <w:trPr>
          <w:jc w:val="center"/>
        </w:trPr>
        <w:tc>
          <w:tcPr>
            <w:tcW w:w="0" w:type="auto"/>
            <w:hideMark/>
          </w:tcPr>
          <w:p w:rsidR="0012521E" w:rsidRPr="005709A2" w:rsidRDefault="0012521E" w:rsidP="00691A73">
            <w:pPr>
              <w:spacing w:line="360" w:lineRule="auto"/>
              <w:jc w:val="center"/>
              <w:rPr>
                <w:rFonts w:cs="Segoe UI"/>
                <w:b/>
                <w:bCs/>
              </w:rPr>
            </w:pPr>
            <w:r w:rsidRPr="005709A2">
              <w:rPr>
                <w:rFonts w:cs="Segoe UI"/>
                <w:b/>
                <w:bCs/>
              </w:rPr>
              <w:t>Statistik</w:t>
            </w:r>
          </w:p>
        </w:tc>
        <w:tc>
          <w:tcPr>
            <w:tcW w:w="0" w:type="auto"/>
            <w:hideMark/>
          </w:tcPr>
          <w:p w:rsidR="0012521E" w:rsidRPr="005709A2" w:rsidRDefault="0012521E" w:rsidP="00691A73">
            <w:pPr>
              <w:spacing w:line="360" w:lineRule="auto"/>
              <w:jc w:val="center"/>
              <w:rPr>
                <w:rFonts w:cs="Segoe UI"/>
                <w:b/>
                <w:bCs/>
              </w:rPr>
            </w:pPr>
            <w:r w:rsidRPr="005709A2">
              <w:rPr>
                <w:rFonts w:cs="Segoe UI"/>
                <w:b/>
                <w:bCs/>
              </w:rPr>
              <w:t>Nilai</w:t>
            </w:r>
          </w:p>
        </w:tc>
        <w:tc>
          <w:tcPr>
            <w:tcW w:w="0" w:type="auto"/>
            <w:hideMark/>
          </w:tcPr>
          <w:p w:rsidR="0012521E" w:rsidRPr="005709A2" w:rsidRDefault="0012521E" w:rsidP="00691A73">
            <w:pPr>
              <w:spacing w:line="360" w:lineRule="auto"/>
              <w:jc w:val="center"/>
              <w:rPr>
                <w:rFonts w:cs="Segoe UI"/>
                <w:b/>
                <w:bCs/>
              </w:rPr>
            </w:pPr>
            <w:r w:rsidRPr="005709A2">
              <w:rPr>
                <w:rFonts w:cs="Segoe UI"/>
                <w:b/>
                <w:bCs/>
              </w:rPr>
              <w:t>Keterangan</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N</w:t>
            </w:r>
          </w:p>
        </w:tc>
        <w:tc>
          <w:tcPr>
            <w:tcW w:w="0" w:type="auto"/>
            <w:hideMark/>
          </w:tcPr>
          <w:p w:rsidR="0012521E" w:rsidRPr="005709A2" w:rsidRDefault="0012521E" w:rsidP="00691A73">
            <w:pPr>
              <w:spacing w:line="360" w:lineRule="auto"/>
              <w:jc w:val="center"/>
              <w:rPr>
                <w:rFonts w:cs="Segoe UI"/>
              </w:rPr>
            </w:pPr>
            <w:r w:rsidRPr="005709A2">
              <w:rPr>
                <w:rFonts w:cs="Segoe UI"/>
              </w:rPr>
              <w:t>5</w:t>
            </w:r>
          </w:p>
        </w:tc>
        <w:tc>
          <w:tcPr>
            <w:tcW w:w="0" w:type="auto"/>
            <w:hideMark/>
          </w:tcPr>
          <w:p w:rsidR="0012521E" w:rsidRPr="005709A2" w:rsidRDefault="0012521E" w:rsidP="00691A73">
            <w:pPr>
              <w:spacing w:line="360" w:lineRule="auto"/>
              <w:jc w:val="center"/>
              <w:rPr>
                <w:rFonts w:cs="Segoe UI"/>
              </w:rPr>
            </w:pPr>
            <w:r w:rsidRPr="005709A2">
              <w:rPr>
                <w:rFonts w:cs="Segoe UI"/>
              </w:rPr>
              <w:t>Jumlah observasi (tahun 2020-2024)</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Minimum</w:t>
            </w:r>
          </w:p>
        </w:tc>
        <w:tc>
          <w:tcPr>
            <w:tcW w:w="0" w:type="auto"/>
            <w:hideMark/>
          </w:tcPr>
          <w:p w:rsidR="0012521E" w:rsidRPr="005709A2" w:rsidRDefault="0012521E" w:rsidP="00691A73">
            <w:pPr>
              <w:spacing w:line="360" w:lineRule="auto"/>
              <w:jc w:val="center"/>
              <w:rPr>
                <w:rFonts w:cs="Segoe UI"/>
              </w:rPr>
            </w:pPr>
            <w:r w:rsidRPr="005709A2">
              <w:rPr>
                <w:rFonts w:cs="Segoe UI"/>
              </w:rPr>
              <w:t>6.17%</w:t>
            </w:r>
          </w:p>
        </w:tc>
        <w:tc>
          <w:tcPr>
            <w:tcW w:w="0" w:type="auto"/>
            <w:hideMark/>
          </w:tcPr>
          <w:p w:rsidR="0012521E" w:rsidRPr="005709A2" w:rsidRDefault="0012521E" w:rsidP="00691A73">
            <w:pPr>
              <w:spacing w:line="360" w:lineRule="auto"/>
              <w:jc w:val="center"/>
              <w:rPr>
                <w:rFonts w:cs="Segoe UI"/>
              </w:rPr>
            </w:pPr>
            <w:r w:rsidRPr="005709A2">
              <w:rPr>
                <w:rFonts w:cs="Segoe UI"/>
              </w:rPr>
              <w:t>Terendah pada tahun 2020</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Maximum</w:t>
            </w:r>
          </w:p>
        </w:tc>
        <w:tc>
          <w:tcPr>
            <w:tcW w:w="0" w:type="auto"/>
            <w:hideMark/>
          </w:tcPr>
          <w:p w:rsidR="0012521E" w:rsidRPr="005709A2" w:rsidRDefault="0012521E" w:rsidP="00691A73">
            <w:pPr>
              <w:spacing w:line="360" w:lineRule="auto"/>
              <w:jc w:val="center"/>
              <w:rPr>
                <w:rFonts w:cs="Segoe UI"/>
              </w:rPr>
            </w:pPr>
            <w:r w:rsidRPr="005709A2">
              <w:rPr>
                <w:rFonts w:cs="Segoe UI"/>
              </w:rPr>
              <w:t>7.19%</w:t>
            </w:r>
          </w:p>
        </w:tc>
        <w:tc>
          <w:tcPr>
            <w:tcW w:w="0" w:type="auto"/>
            <w:hideMark/>
          </w:tcPr>
          <w:p w:rsidR="0012521E" w:rsidRPr="005709A2" w:rsidRDefault="0012521E" w:rsidP="00691A73">
            <w:pPr>
              <w:spacing w:line="360" w:lineRule="auto"/>
              <w:jc w:val="center"/>
              <w:rPr>
                <w:rFonts w:cs="Segoe UI"/>
              </w:rPr>
            </w:pPr>
            <w:r w:rsidRPr="005709A2">
              <w:rPr>
                <w:rFonts w:cs="Segoe UI"/>
              </w:rPr>
              <w:t>Tertinggi pada tahun 2024</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Mean</w:t>
            </w:r>
          </w:p>
        </w:tc>
        <w:tc>
          <w:tcPr>
            <w:tcW w:w="0" w:type="auto"/>
            <w:hideMark/>
          </w:tcPr>
          <w:p w:rsidR="0012521E" w:rsidRPr="005709A2" w:rsidRDefault="0012521E" w:rsidP="00691A73">
            <w:pPr>
              <w:spacing w:line="360" w:lineRule="auto"/>
              <w:jc w:val="center"/>
              <w:rPr>
                <w:rFonts w:cs="Segoe UI"/>
              </w:rPr>
            </w:pPr>
            <w:r w:rsidRPr="005709A2">
              <w:rPr>
                <w:rFonts w:cs="Segoe UI"/>
              </w:rPr>
              <w:t>6.4660%</w:t>
            </w:r>
          </w:p>
        </w:tc>
        <w:tc>
          <w:tcPr>
            <w:tcW w:w="0" w:type="auto"/>
            <w:hideMark/>
          </w:tcPr>
          <w:p w:rsidR="0012521E" w:rsidRPr="005709A2" w:rsidRDefault="0012521E" w:rsidP="00691A73">
            <w:pPr>
              <w:spacing w:line="360" w:lineRule="auto"/>
              <w:jc w:val="center"/>
              <w:rPr>
                <w:rFonts w:cs="Segoe UI"/>
              </w:rPr>
            </w:pPr>
            <w:r w:rsidRPr="005709A2">
              <w:rPr>
                <w:rFonts w:cs="Segoe UI"/>
              </w:rPr>
              <w:t>Rata-rata selama 5 tahun</w:t>
            </w:r>
          </w:p>
        </w:tc>
      </w:tr>
      <w:tr w:rsidR="0012521E" w:rsidRPr="005709A2" w:rsidTr="00691A73">
        <w:trPr>
          <w:jc w:val="center"/>
        </w:trPr>
        <w:tc>
          <w:tcPr>
            <w:tcW w:w="0" w:type="auto"/>
            <w:hideMark/>
          </w:tcPr>
          <w:p w:rsidR="0012521E" w:rsidRPr="005709A2" w:rsidRDefault="0012521E" w:rsidP="00691A73">
            <w:pPr>
              <w:spacing w:line="360" w:lineRule="auto"/>
              <w:jc w:val="center"/>
              <w:rPr>
                <w:rFonts w:cs="Segoe UI"/>
              </w:rPr>
            </w:pPr>
            <w:r w:rsidRPr="005709A2">
              <w:rPr>
                <w:rFonts w:cs="Segoe UI"/>
              </w:rPr>
              <w:t>Std. Deviation</w:t>
            </w:r>
          </w:p>
        </w:tc>
        <w:tc>
          <w:tcPr>
            <w:tcW w:w="0" w:type="auto"/>
            <w:hideMark/>
          </w:tcPr>
          <w:p w:rsidR="0012521E" w:rsidRPr="005709A2" w:rsidRDefault="0012521E" w:rsidP="00691A73">
            <w:pPr>
              <w:spacing w:line="360" w:lineRule="auto"/>
              <w:jc w:val="center"/>
              <w:rPr>
                <w:rFonts w:cs="Segoe UI"/>
              </w:rPr>
            </w:pPr>
            <w:r w:rsidRPr="005709A2">
              <w:rPr>
                <w:rFonts w:cs="Segoe UI"/>
              </w:rPr>
              <w:t>0.41537</w:t>
            </w:r>
          </w:p>
        </w:tc>
        <w:tc>
          <w:tcPr>
            <w:tcW w:w="0" w:type="auto"/>
            <w:hideMark/>
          </w:tcPr>
          <w:p w:rsidR="0012521E" w:rsidRPr="005709A2" w:rsidRDefault="0012521E" w:rsidP="00691A73">
            <w:pPr>
              <w:spacing w:line="360" w:lineRule="auto"/>
              <w:jc w:val="center"/>
              <w:rPr>
                <w:rFonts w:cs="Segoe UI"/>
              </w:rPr>
            </w:pPr>
            <w:r w:rsidRPr="005709A2">
              <w:rPr>
                <w:rFonts w:cs="Segoe UI"/>
              </w:rPr>
              <w:t>Sebaran data relatif kecil</w:t>
            </w:r>
          </w:p>
        </w:tc>
      </w:tr>
    </w:tbl>
    <w:p w:rsidR="0012521E" w:rsidRPr="005709A2" w:rsidRDefault="0012521E" w:rsidP="0012521E">
      <w:pPr>
        <w:pStyle w:val="ListParagraph"/>
        <w:spacing w:after="0" w:line="360" w:lineRule="auto"/>
        <w:ind w:left="567" w:firstLine="567"/>
        <w:rPr>
          <w:rFonts w:cs="Segoe UI"/>
        </w:rPr>
      </w:pPr>
    </w:p>
    <w:p w:rsidR="0012521E" w:rsidRPr="005709A2" w:rsidRDefault="0012521E" w:rsidP="0012521E">
      <w:pPr>
        <w:pStyle w:val="ListParagraph"/>
        <w:spacing w:after="0" w:line="360" w:lineRule="auto"/>
        <w:ind w:left="567" w:firstLine="567"/>
        <w:rPr>
          <w:rFonts w:cs="Segoe UI"/>
        </w:rPr>
      </w:pPr>
      <w:r w:rsidRPr="005709A2">
        <w:rPr>
          <w:rFonts w:cs="Segoe UI"/>
        </w:rPr>
        <w:t xml:space="preserve">NIM Bank Papua memiliki nilai rata-rata 6.4660% dengan standar deviasi 0.41537. Nilai minimum 6.17% dan maksimum 7.19% dengan tren peningkatan yang konsisten. Standar deviasi yang relatif kecil menunjukkan kemampuan Bank Papua dalam menghasilkan pendapatan bunga bersih dari aset produktifnya cenderung stabil. Nilai skewness 1.967 (positif) dan kurtosis 3.986 (positif) menunjukkan distribusi menceng ke kanan dan cenderung </w:t>
      </w:r>
      <w:r w:rsidRPr="005709A2">
        <w:rPr>
          <w:rFonts w:cs="Segoe UI"/>
          <w:i/>
          <w:iCs/>
        </w:rPr>
        <w:t>leptokurtic</w:t>
      </w:r>
      <w:r w:rsidRPr="005709A2">
        <w:rPr>
          <w:rFonts w:cs="Segoe UI"/>
        </w:rPr>
        <w:t>.</w:t>
      </w:r>
    </w:p>
    <w:p w:rsidR="0012521E" w:rsidRPr="005709A2" w:rsidRDefault="0012521E" w:rsidP="0012521E">
      <w:pPr>
        <w:pStyle w:val="ListParagraph"/>
        <w:spacing w:after="0" w:line="360" w:lineRule="auto"/>
        <w:ind w:left="567" w:firstLine="567"/>
        <w:rPr>
          <w:rFonts w:cs="Segoe UI"/>
        </w:rPr>
      </w:pPr>
      <w:r w:rsidRPr="005709A2">
        <w:rPr>
          <w:rFonts w:cs="Segoe UI"/>
        </w:rPr>
        <w:t>Berdasarkan hasil analisis statistik deskriptif di atas, dapat ditarik beberapa implikasi:</w:t>
      </w:r>
    </w:p>
    <w:p w:rsidR="0012521E" w:rsidRPr="005709A2" w:rsidRDefault="0012521E" w:rsidP="0012521E">
      <w:pPr>
        <w:pStyle w:val="ListParagraph"/>
        <w:numPr>
          <w:ilvl w:val="0"/>
          <w:numId w:val="10"/>
        </w:numPr>
        <w:tabs>
          <w:tab w:val="clear" w:pos="927"/>
        </w:tabs>
        <w:spacing w:after="0" w:line="360" w:lineRule="auto"/>
        <w:ind w:left="1134" w:hanging="567"/>
        <w:rPr>
          <w:rFonts w:cs="Segoe UI"/>
        </w:rPr>
      </w:pPr>
      <w:r w:rsidRPr="005709A2">
        <w:rPr>
          <w:rFonts w:cs="Segoe UI"/>
        </w:rPr>
        <w:t>NPL menunjukkan tren penurunan yang konsisten dari tahun ke tahun, mencerminkan perbaikan kualitas kredit Bank Papua. Rata-rata NPL Gross (3.07%) dan NPL Net (0.96%) masih jauh di bawah batas maksimum regulator (5%), menunjukkan kondisi yang sehat.</w:t>
      </w:r>
    </w:p>
    <w:p w:rsidR="0012521E" w:rsidRPr="005709A2" w:rsidRDefault="0012521E" w:rsidP="0012521E">
      <w:pPr>
        <w:pStyle w:val="ListParagraph"/>
        <w:numPr>
          <w:ilvl w:val="0"/>
          <w:numId w:val="10"/>
        </w:numPr>
        <w:tabs>
          <w:tab w:val="clear" w:pos="927"/>
        </w:tabs>
        <w:spacing w:after="0" w:line="360" w:lineRule="auto"/>
        <w:ind w:left="1134" w:hanging="567"/>
        <w:rPr>
          <w:rFonts w:cs="Segoe UI"/>
        </w:rPr>
      </w:pPr>
      <w:r w:rsidRPr="005709A2">
        <w:rPr>
          <w:rFonts w:cs="Segoe UI"/>
        </w:rPr>
        <w:t>ROA menunjukkan stabilitas yang baik dengan rata-rata 1.75%, di atas standar minimum industri perbankan (1.5%), mencerminkan kemampuan Bank dalam menghasilkan laba dari asetnya.</w:t>
      </w:r>
    </w:p>
    <w:p w:rsidR="0012521E" w:rsidRPr="005709A2" w:rsidRDefault="0012521E" w:rsidP="0012521E">
      <w:pPr>
        <w:pStyle w:val="ListParagraph"/>
        <w:numPr>
          <w:ilvl w:val="0"/>
          <w:numId w:val="10"/>
        </w:numPr>
        <w:tabs>
          <w:tab w:val="clear" w:pos="927"/>
        </w:tabs>
        <w:spacing w:after="0" w:line="360" w:lineRule="auto"/>
        <w:ind w:left="1134" w:hanging="567"/>
        <w:rPr>
          <w:rFonts w:cs="Segoe UI"/>
        </w:rPr>
      </w:pPr>
      <w:r w:rsidRPr="005709A2">
        <w:rPr>
          <w:rFonts w:cs="Segoe UI"/>
        </w:rPr>
        <w:t>ROE menunjukkan variabilitas tertinggi dengan rata-rata 11.60%, mencerminkan imbal hasil yang cukup baik bagi pemegang saham meskipun fluktuatif.</w:t>
      </w:r>
    </w:p>
    <w:p w:rsidR="0012521E" w:rsidRPr="005709A2" w:rsidRDefault="0012521E" w:rsidP="0012521E">
      <w:pPr>
        <w:pStyle w:val="ListParagraph"/>
        <w:numPr>
          <w:ilvl w:val="0"/>
          <w:numId w:val="10"/>
        </w:numPr>
        <w:tabs>
          <w:tab w:val="clear" w:pos="927"/>
        </w:tabs>
        <w:spacing w:after="0" w:line="360" w:lineRule="auto"/>
        <w:ind w:left="1134" w:hanging="567"/>
        <w:rPr>
          <w:rFonts w:cs="Segoe UI"/>
        </w:rPr>
      </w:pPr>
      <w:r w:rsidRPr="005709A2">
        <w:rPr>
          <w:rFonts w:cs="Segoe UI"/>
        </w:rPr>
        <w:t>NIM menunjukkan tren peningkatan yang konsisten, mencerminkan peningkatan efisiensi Bank dalam mengelola spread pendapatan bunga.</w:t>
      </w:r>
    </w:p>
    <w:p w:rsidR="0012521E" w:rsidRPr="005709A2" w:rsidRDefault="0012521E" w:rsidP="000F1318">
      <w:pPr>
        <w:pStyle w:val="ListParagraph"/>
        <w:spacing w:after="0" w:line="360" w:lineRule="auto"/>
        <w:ind w:left="567" w:firstLine="567"/>
        <w:rPr>
          <w:rFonts w:cs="Segoe UI"/>
        </w:rPr>
      </w:pPr>
      <w:r w:rsidRPr="005709A2">
        <w:rPr>
          <w:rFonts w:cs="Segoe UI"/>
        </w:rPr>
        <w:t>Secara keseluruhan, seluruh rasio keuangan Bank Papua selama periode 2020–2024 berada dalam kategori sehat, yang mengindikasikan bahwa Bank Papua memiliki kinerja keuangan yang baik dan stabil.</w:t>
      </w:r>
    </w:p>
    <w:p w:rsidR="0012521E" w:rsidRPr="005709A2" w:rsidRDefault="0012521E" w:rsidP="0012521E">
      <w:pPr>
        <w:rPr>
          <w:rFonts w:cs="Segoe UI"/>
        </w:rPr>
      </w:pPr>
    </w:p>
    <w:p w:rsidR="00985560" w:rsidRPr="005709A2" w:rsidRDefault="00985560" w:rsidP="00985560">
      <w:pPr>
        <w:pStyle w:val="Heading2"/>
        <w:rPr>
          <w:rFonts w:cs="Segoe UI"/>
        </w:rPr>
      </w:pPr>
      <w:r w:rsidRPr="005709A2">
        <w:rPr>
          <w:rFonts w:cs="Segoe UI"/>
        </w:rPr>
        <w:lastRenderedPageBreak/>
        <w:t>3.2 Hasil Statistik dan Gambar</w:t>
      </w:r>
    </w:p>
    <w:p w:rsidR="0012521E" w:rsidRPr="005709A2" w:rsidRDefault="0012521E" w:rsidP="0012521E">
      <w:pPr>
        <w:pStyle w:val="Heading2"/>
        <w:numPr>
          <w:ilvl w:val="1"/>
          <w:numId w:val="6"/>
        </w:numPr>
        <w:tabs>
          <w:tab w:val="num" w:pos="936"/>
        </w:tabs>
        <w:spacing w:line="360" w:lineRule="auto"/>
        <w:ind w:left="567" w:hanging="567"/>
        <w:rPr>
          <w:rFonts w:cs="Segoe UI"/>
          <w:szCs w:val="24"/>
        </w:rPr>
      </w:pPr>
      <w:bookmarkStart w:id="2" w:name="_Toc235924268"/>
      <w:r w:rsidRPr="005709A2">
        <w:rPr>
          <w:rFonts w:cs="Segoe UI"/>
          <w:szCs w:val="24"/>
        </w:rPr>
        <w:t>Analisis Regresi Linear Sederhana</w:t>
      </w:r>
      <w:bookmarkEnd w:id="2"/>
    </w:p>
    <w:p w:rsidR="0012521E" w:rsidRPr="005709A2" w:rsidRDefault="0012521E" w:rsidP="0012521E">
      <w:pPr>
        <w:pStyle w:val="ListParagraph"/>
        <w:numPr>
          <w:ilvl w:val="2"/>
          <w:numId w:val="6"/>
        </w:numPr>
        <w:spacing w:line="360" w:lineRule="auto"/>
        <w:ind w:left="567" w:hanging="567"/>
        <w:rPr>
          <w:rFonts w:cs="Segoe UI"/>
          <w:b/>
          <w:bCs/>
        </w:rPr>
      </w:pPr>
      <w:r w:rsidRPr="005709A2">
        <w:rPr>
          <w:rFonts w:cs="Segoe UI"/>
          <w:b/>
          <w:bCs/>
        </w:rPr>
        <w:t>Pengaruh NPL terhadap ROA</w:t>
      </w:r>
    </w:p>
    <w:p w:rsidR="0012521E" w:rsidRPr="005709A2" w:rsidRDefault="0012521E" w:rsidP="0012521E">
      <w:pPr>
        <w:pStyle w:val="ListParagraph"/>
        <w:numPr>
          <w:ilvl w:val="3"/>
          <w:numId w:val="8"/>
        </w:numPr>
        <w:spacing w:after="0" w:line="360" w:lineRule="auto"/>
        <w:ind w:left="567" w:hanging="567"/>
        <w:rPr>
          <w:rFonts w:cs="Segoe UI"/>
          <w:b/>
          <w:bCs/>
        </w:rPr>
      </w:pPr>
      <w:r w:rsidRPr="005709A2">
        <w:rPr>
          <w:rFonts w:cs="Segoe UI"/>
          <w:b/>
          <w:bCs/>
        </w:rPr>
        <w:t>Persamaan Regresi</w:t>
      </w:r>
    </w:p>
    <w:p w:rsidR="0012521E" w:rsidRPr="005709A2" w:rsidRDefault="0012521E" w:rsidP="0012521E">
      <w:pPr>
        <w:spacing w:after="0" w:line="360" w:lineRule="auto"/>
        <w:jc w:val="center"/>
        <w:rPr>
          <w:rFonts w:cs="Segoe UI"/>
          <w:b/>
          <w:bCs/>
        </w:rPr>
      </w:pPr>
      <w:bookmarkStart w:id="3" w:name="_Toc235924286"/>
      <w:r w:rsidRPr="005709A2">
        <w:rPr>
          <w:rFonts w:cs="Segoe UI"/>
          <w:b/>
          <w:bCs/>
        </w:rPr>
        <w:t xml:space="preserve">Tabel 4. </w:t>
      </w:r>
      <w:r w:rsidR="00C459D6" w:rsidRPr="005709A2">
        <w:rPr>
          <w:rFonts w:cs="Segoe UI"/>
          <w:b/>
          <w:bCs/>
        </w:rPr>
        <w:fldChar w:fldCharType="begin"/>
      </w:r>
      <w:r w:rsidRPr="005709A2">
        <w:rPr>
          <w:rFonts w:cs="Segoe UI"/>
          <w:b/>
          <w:bCs/>
        </w:rPr>
        <w:instrText xml:space="preserve"> SEQ Tabel_4. \* ARABIC </w:instrText>
      </w:r>
      <w:r w:rsidR="00C459D6" w:rsidRPr="005709A2">
        <w:rPr>
          <w:rFonts w:cs="Segoe UI"/>
          <w:b/>
          <w:bCs/>
        </w:rPr>
        <w:fldChar w:fldCharType="separate"/>
      </w:r>
      <w:r w:rsidRPr="005709A2">
        <w:rPr>
          <w:rFonts w:cs="Segoe UI"/>
          <w:b/>
          <w:bCs/>
          <w:noProof/>
        </w:rPr>
        <w:t>12</w:t>
      </w:r>
      <w:r w:rsidR="00C459D6" w:rsidRPr="005709A2">
        <w:rPr>
          <w:rFonts w:cs="Segoe UI"/>
          <w:b/>
          <w:bCs/>
        </w:rPr>
        <w:fldChar w:fldCharType="end"/>
      </w:r>
      <w:r w:rsidRPr="005709A2">
        <w:rPr>
          <w:rFonts w:cs="Segoe UI"/>
          <w:b/>
          <w:bCs/>
        </w:rPr>
        <w:t xml:space="preserve"> Hasil Uji Simultan (ANOVA) NPL terhadap ROA</w:t>
      </w:r>
      <w:bookmarkEnd w:id="3"/>
    </w:p>
    <w:p w:rsidR="0012521E" w:rsidRPr="005709A2" w:rsidRDefault="0012521E" w:rsidP="0012521E">
      <w:pPr>
        <w:spacing w:after="0" w:line="360" w:lineRule="auto"/>
        <w:jc w:val="center"/>
        <w:rPr>
          <w:rFonts w:cs="Segoe UI"/>
        </w:rPr>
      </w:pPr>
      <w:r w:rsidRPr="005709A2">
        <w:rPr>
          <w:rFonts w:cs="Segoe UI"/>
          <w:noProof/>
          <w:lang w:val="en-US"/>
        </w:rPr>
        <w:drawing>
          <wp:inline distT="0" distB="0" distL="0" distR="0">
            <wp:extent cx="5040630" cy="1664335"/>
            <wp:effectExtent l="0" t="0" r="0" b="0"/>
            <wp:docPr id="1421690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690842" name=""/>
                    <pic:cNvPicPr/>
                  </pic:nvPicPr>
                  <pic:blipFill>
                    <a:blip r:embed="rId16"/>
                    <a:stretch>
                      <a:fillRect/>
                    </a:stretch>
                  </pic:blipFill>
                  <pic:spPr>
                    <a:xfrm>
                      <a:off x="0" y="0"/>
                      <a:ext cx="5040630" cy="1664335"/>
                    </a:xfrm>
                    <a:prstGeom prst="rect">
                      <a:avLst/>
                    </a:prstGeom>
                  </pic:spPr>
                </pic:pic>
              </a:graphicData>
            </a:graphic>
          </wp:inline>
        </w:drawing>
      </w:r>
    </w:p>
    <w:p w:rsidR="0012521E" w:rsidRPr="005709A2" w:rsidRDefault="0012521E" w:rsidP="0012521E">
      <w:pPr>
        <w:spacing w:after="0" w:line="360" w:lineRule="auto"/>
        <w:ind w:left="567" w:firstLine="567"/>
        <w:rPr>
          <w:rFonts w:cs="Segoe UI"/>
        </w:rPr>
      </w:pPr>
      <w:r w:rsidRPr="005709A2">
        <w:rPr>
          <w:rFonts w:cs="Segoe UI"/>
        </w:rPr>
        <w:t xml:space="preserve">Berdasarkan hasil uji ANOVA pada model regresi NPL terhadap ROA, diperoleh nilai F hitung sebesar 0,316 dengan tingkat signifikansi 0,613. Karena nilai signifikansi tersebut &gt; 0,05 (0,613 &gt; 0,05), maka dapat disimpulkan bahwa model regresi tidak layak digunakan untuk memprediksi ROA atau dengan kata lain, NPL secara simultan tidak berpengaruh signifikan terhadap ROA. </w:t>
      </w:r>
    </w:p>
    <w:p w:rsidR="0012521E" w:rsidRPr="005709A2" w:rsidRDefault="0012521E" w:rsidP="0012521E">
      <w:pPr>
        <w:spacing w:after="0" w:line="360" w:lineRule="auto"/>
        <w:ind w:left="567" w:firstLine="567"/>
        <w:rPr>
          <w:rFonts w:cs="Segoe UI"/>
        </w:rPr>
      </w:pPr>
    </w:p>
    <w:p w:rsidR="0012521E" w:rsidRPr="005709A2" w:rsidRDefault="0012521E" w:rsidP="0012521E">
      <w:pPr>
        <w:pStyle w:val="ListParagraph"/>
        <w:numPr>
          <w:ilvl w:val="3"/>
          <w:numId w:val="8"/>
        </w:numPr>
        <w:spacing w:after="0" w:line="360" w:lineRule="auto"/>
        <w:ind w:left="567" w:hanging="567"/>
        <w:rPr>
          <w:rFonts w:cs="Segoe UI"/>
          <w:b/>
          <w:bCs/>
        </w:rPr>
      </w:pPr>
      <w:r w:rsidRPr="005709A2">
        <w:rPr>
          <w:rFonts w:cs="Segoe UI"/>
          <w:b/>
          <w:bCs/>
        </w:rPr>
        <w:t>Koefisien Korelasi (R) dan Koefisien Determinasi (R²)</w:t>
      </w:r>
    </w:p>
    <w:p w:rsidR="0012521E" w:rsidRPr="005709A2" w:rsidRDefault="0012521E" w:rsidP="0012521E">
      <w:pPr>
        <w:spacing w:after="0" w:line="360" w:lineRule="auto"/>
        <w:jc w:val="center"/>
        <w:rPr>
          <w:rFonts w:cs="Segoe UI"/>
          <w:b/>
          <w:bCs/>
        </w:rPr>
      </w:pPr>
      <w:bookmarkStart w:id="4" w:name="_Toc235924287"/>
      <w:r w:rsidRPr="005709A2">
        <w:rPr>
          <w:rFonts w:cs="Segoe UI"/>
          <w:b/>
          <w:bCs/>
        </w:rPr>
        <w:t xml:space="preserve">Tabel 4. </w:t>
      </w:r>
      <w:r w:rsidR="00C459D6" w:rsidRPr="005709A2">
        <w:rPr>
          <w:rFonts w:cs="Segoe UI"/>
          <w:b/>
          <w:bCs/>
        </w:rPr>
        <w:fldChar w:fldCharType="begin"/>
      </w:r>
      <w:r w:rsidRPr="005709A2">
        <w:rPr>
          <w:rFonts w:cs="Segoe UI"/>
          <w:b/>
          <w:bCs/>
        </w:rPr>
        <w:instrText xml:space="preserve"> SEQ Tabel_4. \* ARABIC </w:instrText>
      </w:r>
      <w:r w:rsidR="00C459D6" w:rsidRPr="005709A2">
        <w:rPr>
          <w:rFonts w:cs="Segoe UI"/>
          <w:b/>
          <w:bCs/>
        </w:rPr>
        <w:fldChar w:fldCharType="separate"/>
      </w:r>
      <w:r w:rsidRPr="005709A2">
        <w:rPr>
          <w:rFonts w:cs="Segoe UI"/>
          <w:b/>
          <w:bCs/>
          <w:noProof/>
        </w:rPr>
        <w:t>13</w:t>
      </w:r>
      <w:r w:rsidR="00C459D6" w:rsidRPr="005709A2">
        <w:rPr>
          <w:rFonts w:cs="Segoe UI"/>
          <w:b/>
          <w:bCs/>
        </w:rPr>
        <w:fldChar w:fldCharType="end"/>
      </w:r>
      <w:r w:rsidRPr="005709A2">
        <w:rPr>
          <w:rFonts w:cs="Segoe UI"/>
          <w:b/>
          <w:bCs/>
        </w:rPr>
        <w:t xml:space="preserve"> Hasil Uji Koefisien Korelasi dan Determinasi NPL terhadap ROA</w:t>
      </w:r>
      <w:bookmarkEnd w:id="4"/>
    </w:p>
    <w:p w:rsidR="0012521E" w:rsidRPr="005709A2" w:rsidRDefault="0012521E" w:rsidP="0012521E">
      <w:pPr>
        <w:spacing w:after="0" w:line="360" w:lineRule="auto"/>
        <w:jc w:val="center"/>
        <w:rPr>
          <w:rFonts w:cs="Segoe UI"/>
        </w:rPr>
      </w:pPr>
      <w:r w:rsidRPr="005709A2">
        <w:rPr>
          <w:rFonts w:cs="Segoe UI"/>
          <w:noProof/>
          <w:lang w:val="en-US"/>
        </w:rPr>
        <w:drawing>
          <wp:inline distT="0" distB="0" distL="0" distR="0">
            <wp:extent cx="4676775" cy="1285875"/>
            <wp:effectExtent l="0" t="0" r="9525" b="9525"/>
            <wp:docPr id="356007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07650" name=""/>
                    <pic:cNvPicPr/>
                  </pic:nvPicPr>
                  <pic:blipFill>
                    <a:blip r:embed="rId17"/>
                    <a:stretch>
                      <a:fillRect/>
                    </a:stretch>
                  </pic:blipFill>
                  <pic:spPr>
                    <a:xfrm>
                      <a:off x="0" y="0"/>
                      <a:ext cx="4676775" cy="1285875"/>
                    </a:xfrm>
                    <a:prstGeom prst="rect">
                      <a:avLst/>
                    </a:prstGeom>
                  </pic:spPr>
                </pic:pic>
              </a:graphicData>
            </a:graphic>
          </wp:inline>
        </w:drawing>
      </w:r>
    </w:p>
    <w:p w:rsidR="0012521E" w:rsidRPr="005709A2" w:rsidRDefault="0012521E" w:rsidP="0012521E">
      <w:pPr>
        <w:spacing w:after="0" w:line="360" w:lineRule="auto"/>
        <w:ind w:left="567" w:firstLine="567"/>
        <w:rPr>
          <w:rFonts w:cs="Segoe UI"/>
        </w:rPr>
      </w:pPr>
      <w:r w:rsidRPr="005709A2">
        <w:rPr>
          <w:rFonts w:cs="Segoe UI"/>
        </w:rPr>
        <w:t xml:space="preserve">Berdasarkan hasil analisis regresi pada Tabel 4.7, diperoleh nilai Koefisien Korelasi (R) sebesar 0,309 yang menunjukkan bahwa hubungan antara NPL dan ROA berada pada kategori rendah dan berarah positif (karena nilai R positif). Nilai Koefisien Determinasi (R Square) sebesar 0,095 berarti bahwa NPL hanya mampu menjelaskan variasi ROA sebesar 9,5%, sedangkan sisanya sebesar 90,5% dijelaskan oleh variabel-variabel lain di luar penelitian, seperti efisiensi operasional (BOPO), kecukupan modal (CAR), dan kondisi makroekonomi. Nilai Adjusted R Square sebesar -0,206 yang </w:t>
      </w:r>
      <w:r w:rsidRPr="005709A2">
        <w:rPr>
          <w:rFonts w:cs="Segoe UI"/>
        </w:rPr>
        <w:lastRenderedPageBreak/>
        <w:t xml:space="preserve">negatif mengindikasikan bahwa model regresi ini kurang tepat untuk digunakan sebagai alat prediksi, kemungkinan disebabkan oleh jumlah sampel yang sangat kecil (N=5). </w:t>
      </w:r>
    </w:p>
    <w:p w:rsidR="009E5D6B" w:rsidRPr="00482D96" w:rsidRDefault="009E5D6B" w:rsidP="0012521E">
      <w:pPr>
        <w:spacing w:after="0" w:line="360" w:lineRule="auto"/>
        <w:ind w:left="567" w:firstLine="567"/>
        <w:rPr>
          <w:rFonts w:cs="Segoe UI"/>
          <w:lang w:val="en-US"/>
        </w:rPr>
      </w:pPr>
    </w:p>
    <w:p w:rsidR="0012521E" w:rsidRPr="005709A2" w:rsidRDefault="0012521E" w:rsidP="0012521E">
      <w:pPr>
        <w:pStyle w:val="ListParagraph"/>
        <w:numPr>
          <w:ilvl w:val="3"/>
          <w:numId w:val="8"/>
        </w:numPr>
        <w:spacing w:after="0" w:line="360" w:lineRule="auto"/>
        <w:ind w:left="567" w:hanging="567"/>
        <w:rPr>
          <w:rFonts w:cs="Segoe UI"/>
          <w:b/>
          <w:bCs/>
        </w:rPr>
      </w:pPr>
      <w:r w:rsidRPr="005709A2">
        <w:rPr>
          <w:rFonts w:cs="Segoe UI"/>
          <w:b/>
          <w:bCs/>
        </w:rPr>
        <w:t>Uji Hipotesis (Uji t)</w:t>
      </w:r>
    </w:p>
    <w:p w:rsidR="0012521E" w:rsidRPr="005709A2" w:rsidRDefault="0012521E" w:rsidP="0012521E">
      <w:pPr>
        <w:spacing w:after="0" w:line="360" w:lineRule="auto"/>
        <w:jc w:val="center"/>
        <w:rPr>
          <w:rFonts w:cs="Segoe UI"/>
          <w:b/>
          <w:bCs/>
        </w:rPr>
      </w:pPr>
      <w:bookmarkStart w:id="5" w:name="_Toc235924288"/>
      <w:r w:rsidRPr="005709A2">
        <w:rPr>
          <w:rFonts w:cs="Segoe UI"/>
          <w:b/>
          <w:bCs/>
        </w:rPr>
        <w:t xml:space="preserve">Tabel 4. </w:t>
      </w:r>
      <w:r w:rsidR="00C459D6" w:rsidRPr="005709A2">
        <w:rPr>
          <w:rFonts w:cs="Segoe UI"/>
          <w:b/>
          <w:bCs/>
        </w:rPr>
        <w:fldChar w:fldCharType="begin"/>
      </w:r>
      <w:r w:rsidRPr="005709A2">
        <w:rPr>
          <w:rFonts w:cs="Segoe UI"/>
          <w:b/>
          <w:bCs/>
        </w:rPr>
        <w:instrText xml:space="preserve"> SEQ Tabel_4. \* ARABIC </w:instrText>
      </w:r>
      <w:r w:rsidR="00C459D6" w:rsidRPr="005709A2">
        <w:rPr>
          <w:rFonts w:cs="Segoe UI"/>
          <w:b/>
          <w:bCs/>
        </w:rPr>
        <w:fldChar w:fldCharType="separate"/>
      </w:r>
      <w:r w:rsidRPr="005709A2">
        <w:rPr>
          <w:rFonts w:cs="Segoe UI"/>
          <w:b/>
          <w:bCs/>
          <w:noProof/>
        </w:rPr>
        <w:t>14</w:t>
      </w:r>
      <w:r w:rsidR="00C459D6" w:rsidRPr="005709A2">
        <w:rPr>
          <w:rFonts w:cs="Segoe UI"/>
          <w:b/>
          <w:bCs/>
        </w:rPr>
        <w:fldChar w:fldCharType="end"/>
      </w:r>
      <w:r w:rsidRPr="005709A2">
        <w:rPr>
          <w:rFonts w:cs="Segoe UI"/>
          <w:b/>
          <w:bCs/>
        </w:rPr>
        <w:t xml:space="preserve"> Hasil Uji Hipotesis (Uji t) NPL terhadap ROA</w:t>
      </w:r>
      <w:bookmarkEnd w:id="5"/>
    </w:p>
    <w:p w:rsidR="0012521E" w:rsidRPr="005709A2" w:rsidRDefault="0012521E" w:rsidP="0012521E">
      <w:pPr>
        <w:spacing w:after="0" w:line="360" w:lineRule="auto"/>
        <w:jc w:val="center"/>
        <w:rPr>
          <w:rFonts w:cs="Segoe UI"/>
          <w:b/>
          <w:bCs/>
        </w:rPr>
      </w:pPr>
      <w:r w:rsidRPr="005709A2">
        <w:rPr>
          <w:rFonts w:cs="Segoe UI"/>
          <w:noProof/>
          <w:lang w:val="en-US"/>
        </w:rPr>
        <w:drawing>
          <wp:inline distT="0" distB="0" distL="0" distR="0">
            <wp:extent cx="5040630" cy="1360805"/>
            <wp:effectExtent l="0" t="0" r="0" b="0"/>
            <wp:docPr id="803007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07293" name=""/>
                    <pic:cNvPicPr/>
                  </pic:nvPicPr>
                  <pic:blipFill>
                    <a:blip r:embed="rId18"/>
                    <a:stretch>
                      <a:fillRect/>
                    </a:stretch>
                  </pic:blipFill>
                  <pic:spPr>
                    <a:xfrm>
                      <a:off x="0" y="0"/>
                      <a:ext cx="5040630" cy="1360805"/>
                    </a:xfrm>
                    <a:prstGeom prst="rect">
                      <a:avLst/>
                    </a:prstGeom>
                  </pic:spPr>
                </pic:pic>
              </a:graphicData>
            </a:graphic>
          </wp:inline>
        </w:drawing>
      </w:r>
    </w:p>
    <w:p w:rsidR="0012521E" w:rsidRPr="005709A2" w:rsidRDefault="0012521E" w:rsidP="0012521E">
      <w:pPr>
        <w:spacing w:after="0" w:line="360" w:lineRule="auto"/>
        <w:ind w:left="567" w:firstLine="567"/>
        <w:rPr>
          <w:rFonts w:cs="Segoe UI"/>
        </w:rPr>
      </w:pPr>
      <w:r w:rsidRPr="005709A2">
        <w:rPr>
          <w:rFonts w:cs="Segoe UI"/>
        </w:rPr>
        <w:t>Berdasarkan tabel Coefficients, diperoleh persamaan regresi ROA = 1,890 - 0,045 NPL. Nilai konstanta sebesar 1,890 menunjukkan bahwa jika NPL = 0%, maka ROA diprediksi sebesar 1,890%. Koefisien regresi NPL sebesar -0,045 menunjukkan bahwa setiap kenaikan NPL sebesar 1% akan menurunkan ROA sebesar 0,045%, yang mengindikasikan pengaruh negatif NPL terhadap ROA. Namun, hasil uji t menunjukkan nilai Sig. = 0,613 &gt; 0,05, sehingga NPL tidak berpengaruh signifikan terhadap ROA pada tingkat kepercayaan 95%. Hal ini mengindikasikan bahwa meskipun terdapat hubungan negatif, pengaruh NPL terhadap ROA belum cukup kuat secara statistik.</w:t>
      </w:r>
    </w:p>
    <w:p w:rsidR="0012521E" w:rsidRPr="005709A2" w:rsidRDefault="0012521E" w:rsidP="0012521E">
      <w:pPr>
        <w:spacing w:after="0" w:line="360" w:lineRule="auto"/>
        <w:ind w:left="567" w:firstLine="567"/>
        <w:rPr>
          <w:rFonts w:cs="Segoe UI"/>
        </w:rPr>
      </w:pPr>
    </w:p>
    <w:p w:rsidR="0012521E" w:rsidRPr="005709A2" w:rsidRDefault="0012521E" w:rsidP="0012521E">
      <w:pPr>
        <w:pStyle w:val="ListParagraph"/>
        <w:numPr>
          <w:ilvl w:val="2"/>
          <w:numId w:val="6"/>
        </w:numPr>
        <w:spacing w:after="0" w:line="360" w:lineRule="auto"/>
        <w:ind w:left="567" w:hanging="567"/>
        <w:rPr>
          <w:rFonts w:cs="Segoe UI"/>
          <w:b/>
          <w:bCs/>
        </w:rPr>
      </w:pPr>
      <w:r w:rsidRPr="005709A2">
        <w:rPr>
          <w:rFonts w:cs="Segoe UI"/>
          <w:b/>
          <w:bCs/>
        </w:rPr>
        <w:t>Pengaruh NPL terhadap ROE</w:t>
      </w:r>
    </w:p>
    <w:p w:rsidR="0012521E" w:rsidRPr="005709A2" w:rsidRDefault="0012521E" w:rsidP="0012521E">
      <w:pPr>
        <w:pStyle w:val="ListParagraph"/>
        <w:numPr>
          <w:ilvl w:val="1"/>
          <w:numId w:val="7"/>
        </w:numPr>
        <w:spacing w:after="0" w:line="360" w:lineRule="auto"/>
        <w:ind w:left="567" w:hanging="567"/>
        <w:rPr>
          <w:rFonts w:cs="Segoe UI"/>
          <w:b/>
          <w:bCs/>
        </w:rPr>
      </w:pPr>
      <w:r w:rsidRPr="005709A2">
        <w:rPr>
          <w:rFonts w:cs="Segoe UI"/>
          <w:b/>
          <w:bCs/>
        </w:rPr>
        <w:t>Persamaan Regresi</w:t>
      </w:r>
    </w:p>
    <w:p w:rsidR="0012521E" w:rsidRPr="005709A2" w:rsidRDefault="0012521E" w:rsidP="0012521E">
      <w:pPr>
        <w:spacing w:after="0" w:line="360" w:lineRule="auto"/>
        <w:jc w:val="center"/>
        <w:rPr>
          <w:rFonts w:cs="Segoe UI"/>
          <w:b/>
          <w:bCs/>
        </w:rPr>
      </w:pPr>
      <w:bookmarkStart w:id="6" w:name="_Toc235924289"/>
      <w:r w:rsidRPr="005709A2">
        <w:rPr>
          <w:rFonts w:cs="Segoe UI"/>
          <w:b/>
          <w:bCs/>
        </w:rPr>
        <w:t xml:space="preserve">Tabel 4. </w:t>
      </w:r>
      <w:r w:rsidR="00C459D6" w:rsidRPr="005709A2">
        <w:rPr>
          <w:rFonts w:cs="Segoe UI"/>
          <w:b/>
          <w:bCs/>
        </w:rPr>
        <w:fldChar w:fldCharType="begin"/>
      </w:r>
      <w:r w:rsidRPr="005709A2">
        <w:rPr>
          <w:rFonts w:cs="Segoe UI"/>
          <w:b/>
          <w:bCs/>
        </w:rPr>
        <w:instrText xml:space="preserve"> SEQ Tabel_4. \* ARABIC </w:instrText>
      </w:r>
      <w:r w:rsidR="00C459D6" w:rsidRPr="005709A2">
        <w:rPr>
          <w:rFonts w:cs="Segoe UI"/>
          <w:b/>
          <w:bCs/>
        </w:rPr>
        <w:fldChar w:fldCharType="separate"/>
      </w:r>
      <w:r w:rsidRPr="005709A2">
        <w:rPr>
          <w:rFonts w:cs="Segoe UI"/>
          <w:b/>
          <w:bCs/>
          <w:noProof/>
        </w:rPr>
        <w:t>15</w:t>
      </w:r>
      <w:r w:rsidR="00C459D6" w:rsidRPr="005709A2">
        <w:rPr>
          <w:rFonts w:cs="Segoe UI"/>
          <w:b/>
          <w:bCs/>
        </w:rPr>
        <w:fldChar w:fldCharType="end"/>
      </w:r>
      <w:r w:rsidRPr="005709A2">
        <w:rPr>
          <w:rFonts w:cs="Segoe UI"/>
          <w:b/>
          <w:bCs/>
        </w:rPr>
        <w:t xml:space="preserve"> Hasil Uji Simultan (ANOVA) NPL terhadap ROE</w:t>
      </w:r>
      <w:bookmarkEnd w:id="6"/>
    </w:p>
    <w:p w:rsidR="0012521E" w:rsidRPr="005709A2" w:rsidRDefault="0012521E" w:rsidP="0012521E">
      <w:pPr>
        <w:spacing w:after="0" w:line="360" w:lineRule="auto"/>
        <w:jc w:val="center"/>
        <w:rPr>
          <w:rFonts w:cs="Segoe UI"/>
          <w:sz w:val="24"/>
          <w:szCs w:val="24"/>
        </w:rPr>
      </w:pPr>
      <w:r w:rsidRPr="005709A2">
        <w:rPr>
          <w:rFonts w:cs="Segoe UI"/>
          <w:noProof/>
          <w:sz w:val="24"/>
          <w:szCs w:val="24"/>
          <w:lang w:val="en-US"/>
        </w:rPr>
        <w:drawing>
          <wp:inline distT="0" distB="0" distL="0" distR="0">
            <wp:extent cx="5040630" cy="1664335"/>
            <wp:effectExtent l="0" t="0" r="0" b="0"/>
            <wp:docPr id="1513042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042389" name=""/>
                    <pic:cNvPicPr/>
                  </pic:nvPicPr>
                  <pic:blipFill>
                    <a:blip r:embed="rId19"/>
                    <a:stretch>
                      <a:fillRect/>
                    </a:stretch>
                  </pic:blipFill>
                  <pic:spPr>
                    <a:xfrm>
                      <a:off x="0" y="0"/>
                      <a:ext cx="5040630" cy="1664335"/>
                    </a:xfrm>
                    <a:prstGeom prst="rect">
                      <a:avLst/>
                    </a:prstGeom>
                  </pic:spPr>
                </pic:pic>
              </a:graphicData>
            </a:graphic>
          </wp:inline>
        </w:drawing>
      </w:r>
    </w:p>
    <w:p w:rsidR="0012521E" w:rsidRPr="005709A2" w:rsidRDefault="0012521E" w:rsidP="0012521E">
      <w:pPr>
        <w:spacing w:after="0" w:line="360" w:lineRule="auto"/>
        <w:ind w:left="567" w:firstLine="567"/>
        <w:rPr>
          <w:rFonts w:cs="Segoe UI"/>
          <w:sz w:val="24"/>
          <w:szCs w:val="24"/>
        </w:rPr>
      </w:pPr>
      <w:r w:rsidRPr="005709A2">
        <w:rPr>
          <w:rFonts w:cs="Segoe UI"/>
          <w:sz w:val="24"/>
          <w:szCs w:val="24"/>
        </w:rPr>
        <w:t xml:space="preserve">Berdasarkan hasil uji ANOVA pada model regresi NPL terhadap ROE, diperoleh nilai F hitung sebesar 0,013 dengan tingkat signifikansi 0,917. Karena nilai signifikansi tersebut &gt; </w:t>
      </w:r>
      <w:r w:rsidRPr="005709A2">
        <w:rPr>
          <w:rFonts w:cs="Segoe UI"/>
          <w:sz w:val="24"/>
          <w:szCs w:val="24"/>
        </w:rPr>
        <w:lastRenderedPageBreak/>
        <w:t>0,05 (0,917 &gt; 0,05), maka dapat disimpulkan bahwa NPL secara simultan tidak berpengaruh signifikan terhadap ROE.</w:t>
      </w:r>
    </w:p>
    <w:p w:rsidR="009E5D6B" w:rsidRPr="005709A2" w:rsidRDefault="009E5D6B" w:rsidP="0012521E">
      <w:pPr>
        <w:spacing w:after="0" w:line="360" w:lineRule="auto"/>
        <w:ind w:left="567" w:firstLine="567"/>
        <w:rPr>
          <w:rFonts w:cs="Segoe UI"/>
          <w:sz w:val="24"/>
          <w:szCs w:val="24"/>
        </w:rPr>
      </w:pPr>
    </w:p>
    <w:p w:rsidR="0012521E" w:rsidRPr="005709A2" w:rsidRDefault="0012521E" w:rsidP="0012521E">
      <w:pPr>
        <w:pStyle w:val="ListParagraph"/>
        <w:numPr>
          <w:ilvl w:val="1"/>
          <w:numId w:val="7"/>
        </w:numPr>
        <w:spacing w:after="0" w:line="360" w:lineRule="auto"/>
        <w:ind w:left="567" w:hanging="567"/>
        <w:rPr>
          <w:rFonts w:cs="Segoe UI"/>
          <w:b/>
          <w:bCs/>
        </w:rPr>
      </w:pPr>
      <w:r w:rsidRPr="005709A2">
        <w:rPr>
          <w:rFonts w:cs="Segoe UI"/>
          <w:b/>
          <w:bCs/>
        </w:rPr>
        <w:t>Koefisien Korelasi dan Determinasi</w:t>
      </w:r>
    </w:p>
    <w:p w:rsidR="0012521E" w:rsidRPr="005709A2" w:rsidRDefault="0012521E" w:rsidP="0012521E">
      <w:pPr>
        <w:spacing w:after="0" w:line="360" w:lineRule="auto"/>
        <w:jc w:val="center"/>
        <w:rPr>
          <w:rFonts w:cs="Segoe UI"/>
          <w:b/>
          <w:bCs/>
        </w:rPr>
      </w:pPr>
      <w:bookmarkStart w:id="7" w:name="_Toc235924290"/>
      <w:r w:rsidRPr="005709A2">
        <w:rPr>
          <w:rFonts w:cs="Segoe UI"/>
          <w:b/>
          <w:bCs/>
        </w:rPr>
        <w:t xml:space="preserve">Tabel 4. </w:t>
      </w:r>
      <w:r w:rsidR="00C459D6" w:rsidRPr="005709A2">
        <w:rPr>
          <w:rFonts w:cs="Segoe UI"/>
          <w:b/>
          <w:bCs/>
        </w:rPr>
        <w:fldChar w:fldCharType="begin"/>
      </w:r>
      <w:r w:rsidRPr="005709A2">
        <w:rPr>
          <w:rFonts w:cs="Segoe UI"/>
          <w:b/>
          <w:bCs/>
        </w:rPr>
        <w:instrText xml:space="preserve"> SEQ Tabel_4. \* ARABIC </w:instrText>
      </w:r>
      <w:r w:rsidR="00C459D6" w:rsidRPr="005709A2">
        <w:rPr>
          <w:rFonts w:cs="Segoe UI"/>
          <w:b/>
          <w:bCs/>
        </w:rPr>
        <w:fldChar w:fldCharType="separate"/>
      </w:r>
      <w:r w:rsidRPr="005709A2">
        <w:rPr>
          <w:rFonts w:cs="Segoe UI"/>
          <w:b/>
          <w:bCs/>
          <w:noProof/>
        </w:rPr>
        <w:t>16</w:t>
      </w:r>
      <w:r w:rsidR="00C459D6" w:rsidRPr="005709A2">
        <w:rPr>
          <w:rFonts w:cs="Segoe UI"/>
          <w:b/>
          <w:bCs/>
        </w:rPr>
        <w:fldChar w:fldCharType="end"/>
      </w:r>
      <w:r w:rsidRPr="005709A2">
        <w:rPr>
          <w:rFonts w:cs="Segoe UI"/>
          <w:b/>
          <w:bCs/>
        </w:rPr>
        <w:t xml:space="preserve"> Hasil Uji Koefisien Korelasi dan Determinasi NPL terhadap ROE</w:t>
      </w:r>
      <w:bookmarkEnd w:id="7"/>
    </w:p>
    <w:p w:rsidR="0012521E" w:rsidRPr="005709A2" w:rsidRDefault="0012521E" w:rsidP="0012521E">
      <w:pPr>
        <w:spacing w:after="0" w:line="360" w:lineRule="auto"/>
        <w:jc w:val="center"/>
        <w:rPr>
          <w:rFonts w:cs="Segoe UI"/>
        </w:rPr>
      </w:pPr>
      <w:r w:rsidRPr="005709A2">
        <w:rPr>
          <w:rFonts w:cs="Segoe UI"/>
          <w:noProof/>
          <w:lang w:val="en-US"/>
        </w:rPr>
        <w:drawing>
          <wp:inline distT="0" distB="0" distL="0" distR="0">
            <wp:extent cx="4676775" cy="1285875"/>
            <wp:effectExtent l="0" t="0" r="9525" b="9525"/>
            <wp:docPr id="1261299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99977" name=""/>
                    <pic:cNvPicPr/>
                  </pic:nvPicPr>
                  <pic:blipFill>
                    <a:blip r:embed="rId20"/>
                    <a:stretch>
                      <a:fillRect/>
                    </a:stretch>
                  </pic:blipFill>
                  <pic:spPr>
                    <a:xfrm>
                      <a:off x="0" y="0"/>
                      <a:ext cx="4676775" cy="1285875"/>
                    </a:xfrm>
                    <a:prstGeom prst="rect">
                      <a:avLst/>
                    </a:prstGeom>
                  </pic:spPr>
                </pic:pic>
              </a:graphicData>
            </a:graphic>
          </wp:inline>
        </w:drawing>
      </w:r>
    </w:p>
    <w:p w:rsidR="0012521E" w:rsidRPr="005709A2" w:rsidRDefault="0012521E" w:rsidP="0012521E">
      <w:pPr>
        <w:spacing w:after="0" w:line="360" w:lineRule="auto"/>
        <w:ind w:left="567" w:firstLine="567"/>
        <w:rPr>
          <w:rFonts w:cs="Segoe UI"/>
        </w:rPr>
      </w:pPr>
      <w:r w:rsidRPr="005709A2">
        <w:rPr>
          <w:rFonts w:cs="Segoe UI"/>
        </w:rPr>
        <w:t>Berdasarkan tabel Model Summary, diperoleh nilai Koefisien Korelasi (R) sebesar 0,066 yang menunjukkan bahwa hubungan antara NPL dan ROE berada pada kategori sangat rendah dan berarah positif (karena nilai R positif). Nilai Koefisien Determinasi (R Square) sebesar 0,004 berarti bahwa NPL hanya mampu menjelaskan variasi ROE sebesar 0,4%, sedangkan sisanya sebesar 99,6% dijelaskan oleh variabel-variabel lain di luar penelitian. Nilai Adjusted R Square sebesar -0,328 yang negatif mengindikasikan bahwa model regresi ini kurang tepat digunakan sebagai alat prediksi. Nilai Durbin-Watson sebesar 2,571 berada di antara 1,5 dan 2,5 (atau 1,156 &lt; 2,571 &lt; 2,844), yang mengindikasikan tidak terjadi autokorelasi pada model ini.</w:t>
      </w:r>
    </w:p>
    <w:p w:rsidR="0012521E" w:rsidRPr="005709A2" w:rsidRDefault="0012521E" w:rsidP="0012521E">
      <w:pPr>
        <w:spacing w:after="0" w:line="360" w:lineRule="auto"/>
        <w:ind w:left="567" w:firstLine="567"/>
        <w:rPr>
          <w:rFonts w:cs="Segoe UI"/>
        </w:rPr>
      </w:pPr>
    </w:p>
    <w:p w:rsidR="0012521E" w:rsidRPr="005709A2" w:rsidRDefault="0012521E" w:rsidP="0012521E">
      <w:pPr>
        <w:pStyle w:val="ListParagraph"/>
        <w:numPr>
          <w:ilvl w:val="1"/>
          <w:numId w:val="7"/>
        </w:numPr>
        <w:spacing w:after="0" w:line="360" w:lineRule="auto"/>
        <w:ind w:left="567" w:hanging="567"/>
        <w:rPr>
          <w:rFonts w:cs="Segoe UI"/>
          <w:b/>
          <w:bCs/>
        </w:rPr>
      </w:pPr>
      <w:r w:rsidRPr="005709A2">
        <w:rPr>
          <w:rFonts w:cs="Segoe UI"/>
          <w:b/>
          <w:bCs/>
        </w:rPr>
        <w:t>Uji Hipotesis (Uji t) → menguji H2</w:t>
      </w:r>
    </w:p>
    <w:p w:rsidR="0012521E" w:rsidRPr="005709A2" w:rsidRDefault="0012521E" w:rsidP="0012521E">
      <w:pPr>
        <w:spacing w:after="0" w:line="360" w:lineRule="auto"/>
        <w:jc w:val="center"/>
        <w:rPr>
          <w:rFonts w:cs="Segoe UI"/>
          <w:b/>
          <w:bCs/>
        </w:rPr>
      </w:pPr>
      <w:bookmarkStart w:id="8" w:name="_Toc235924291"/>
      <w:r w:rsidRPr="005709A2">
        <w:rPr>
          <w:rFonts w:cs="Segoe UI"/>
          <w:b/>
          <w:bCs/>
        </w:rPr>
        <w:t xml:space="preserve">Tabel 4. </w:t>
      </w:r>
      <w:r w:rsidR="00C459D6" w:rsidRPr="005709A2">
        <w:rPr>
          <w:rFonts w:cs="Segoe UI"/>
          <w:b/>
          <w:bCs/>
        </w:rPr>
        <w:fldChar w:fldCharType="begin"/>
      </w:r>
      <w:r w:rsidRPr="005709A2">
        <w:rPr>
          <w:rFonts w:cs="Segoe UI"/>
          <w:b/>
          <w:bCs/>
        </w:rPr>
        <w:instrText xml:space="preserve"> SEQ Tabel_4. \* ARABIC </w:instrText>
      </w:r>
      <w:r w:rsidR="00C459D6" w:rsidRPr="005709A2">
        <w:rPr>
          <w:rFonts w:cs="Segoe UI"/>
          <w:b/>
          <w:bCs/>
        </w:rPr>
        <w:fldChar w:fldCharType="separate"/>
      </w:r>
      <w:r w:rsidRPr="005709A2">
        <w:rPr>
          <w:rFonts w:cs="Segoe UI"/>
          <w:b/>
          <w:bCs/>
          <w:noProof/>
        </w:rPr>
        <w:t>17</w:t>
      </w:r>
      <w:r w:rsidR="00C459D6" w:rsidRPr="005709A2">
        <w:rPr>
          <w:rFonts w:cs="Segoe UI"/>
          <w:b/>
          <w:bCs/>
        </w:rPr>
        <w:fldChar w:fldCharType="end"/>
      </w:r>
      <w:r w:rsidRPr="005709A2">
        <w:rPr>
          <w:rFonts w:cs="Segoe UI"/>
          <w:b/>
          <w:bCs/>
        </w:rPr>
        <w:t xml:space="preserve"> Hasil Uji Hipotesis (Uji t) NPL terhadap ROE</w:t>
      </w:r>
      <w:bookmarkEnd w:id="8"/>
    </w:p>
    <w:p w:rsidR="0012521E" w:rsidRPr="005709A2" w:rsidRDefault="0012521E" w:rsidP="0012521E">
      <w:pPr>
        <w:spacing w:after="0" w:line="360" w:lineRule="auto"/>
        <w:jc w:val="center"/>
        <w:rPr>
          <w:rFonts w:cs="Segoe UI"/>
        </w:rPr>
      </w:pPr>
      <w:r w:rsidRPr="005709A2">
        <w:rPr>
          <w:rFonts w:cs="Segoe UI"/>
          <w:noProof/>
          <w:lang w:val="en-US"/>
        </w:rPr>
        <w:drawing>
          <wp:inline distT="0" distB="0" distL="0" distR="0">
            <wp:extent cx="5040630" cy="1360805"/>
            <wp:effectExtent l="0" t="0" r="0" b="0"/>
            <wp:docPr id="1263410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10434" name=""/>
                    <pic:cNvPicPr/>
                  </pic:nvPicPr>
                  <pic:blipFill>
                    <a:blip r:embed="rId21"/>
                    <a:stretch>
                      <a:fillRect/>
                    </a:stretch>
                  </pic:blipFill>
                  <pic:spPr>
                    <a:xfrm>
                      <a:off x="0" y="0"/>
                      <a:ext cx="5040630" cy="1360805"/>
                    </a:xfrm>
                    <a:prstGeom prst="rect">
                      <a:avLst/>
                    </a:prstGeom>
                  </pic:spPr>
                </pic:pic>
              </a:graphicData>
            </a:graphic>
          </wp:inline>
        </w:drawing>
      </w:r>
    </w:p>
    <w:p w:rsidR="0012521E" w:rsidRPr="005709A2" w:rsidRDefault="0012521E" w:rsidP="0012521E">
      <w:pPr>
        <w:spacing w:after="0" w:line="360" w:lineRule="auto"/>
        <w:ind w:left="567" w:firstLine="567"/>
        <w:rPr>
          <w:rFonts w:cs="Segoe UI"/>
        </w:rPr>
      </w:pPr>
      <w:r w:rsidRPr="005709A2">
        <w:rPr>
          <w:rFonts w:cs="Segoe UI"/>
        </w:rPr>
        <w:t xml:space="preserve">Berdasarkan tabel Coefficients, diperoleh persamaan regresi ROE = 12,006 - 0,131 NPL. Nilai konstanta sebesar 12,006 menunjukkan bahwa jika NPL = 0%, maka ROE diprediksi sebesar 12,006%. Koefisien regresi NPL sebesar -0,131 menunjukkan bahwa setiap kenaikan NPL sebesar 1% akan menurunkan ROE sebesar 0,131%, yang mengindikasikan pengaruh negatif NPL terhadap ROE. </w:t>
      </w:r>
      <w:r w:rsidRPr="005709A2">
        <w:rPr>
          <w:rFonts w:cs="Segoe UI"/>
        </w:rPr>
        <w:lastRenderedPageBreak/>
        <w:t>Namun, hasil uji t menunjukkan nilai Sig. = 0,917 &gt; 0,05, sehingga NPL tidak berpengaruh signifikan terhadap ROE pada tingkat kepercayaan 95%.</w:t>
      </w:r>
    </w:p>
    <w:p w:rsidR="0012521E" w:rsidRPr="005709A2" w:rsidRDefault="0012521E" w:rsidP="0012521E">
      <w:pPr>
        <w:spacing w:after="0" w:line="360" w:lineRule="auto"/>
        <w:ind w:left="567" w:firstLine="567"/>
        <w:rPr>
          <w:rFonts w:cs="Segoe UI"/>
          <w:b/>
          <w:bCs/>
        </w:rPr>
      </w:pPr>
    </w:p>
    <w:p w:rsidR="0012521E" w:rsidRPr="005709A2" w:rsidRDefault="0012521E" w:rsidP="0012521E">
      <w:pPr>
        <w:pStyle w:val="ListParagraph"/>
        <w:numPr>
          <w:ilvl w:val="2"/>
          <w:numId w:val="6"/>
        </w:numPr>
        <w:spacing w:line="360" w:lineRule="auto"/>
        <w:ind w:left="567" w:hanging="567"/>
        <w:rPr>
          <w:rFonts w:cs="Segoe UI"/>
          <w:b/>
          <w:bCs/>
        </w:rPr>
      </w:pPr>
      <w:r w:rsidRPr="005709A2">
        <w:rPr>
          <w:rFonts w:cs="Segoe UI"/>
          <w:b/>
          <w:bCs/>
        </w:rPr>
        <w:t>Pengaruh NPL terhadap NIM</w:t>
      </w:r>
    </w:p>
    <w:p w:rsidR="0012521E" w:rsidRPr="005709A2" w:rsidRDefault="0012521E" w:rsidP="0012521E">
      <w:pPr>
        <w:pStyle w:val="ListParagraph"/>
        <w:numPr>
          <w:ilvl w:val="0"/>
          <w:numId w:val="9"/>
        </w:numPr>
        <w:spacing w:after="0" w:line="360" w:lineRule="auto"/>
        <w:ind w:left="567" w:hanging="567"/>
        <w:rPr>
          <w:rFonts w:cs="Segoe UI"/>
          <w:b/>
          <w:bCs/>
        </w:rPr>
      </w:pPr>
      <w:r w:rsidRPr="005709A2">
        <w:rPr>
          <w:rFonts w:cs="Segoe UI"/>
          <w:b/>
          <w:bCs/>
        </w:rPr>
        <w:t>Persamaan Regresi</w:t>
      </w:r>
    </w:p>
    <w:p w:rsidR="0012521E" w:rsidRPr="005709A2" w:rsidRDefault="0012521E" w:rsidP="0012521E">
      <w:pPr>
        <w:spacing w:after="0" w:line="360" w:lineRule="auto"/>
        <w:jc w:val="center"/>
        <w:rPr>
          <w:rFonts w:cs="Segoe UI"/>
          <w:b/>
          <w:bCs/>
        </w:rPr>
      </w:pPr>
      <w:bookmarkStart w:id="9" w:name="_Toc235924292"/>
      <w:r w:rsidRPr="005709A2">
        <w:rPr>
          <w:rFonts w:cs="Segoe UI"/>
          <w:b/>
          <w:bCs/>
        </w:rPr>
        <w:t xml:space="preserve">Tabel 4. </w:t>
      </w:r>
      <w:r w:rsidR="00C459D6" w:rsidRPr="005709A2">
        <w:rPr>
          <w:rFonts w:cs="Segoe UI"/>
          <w:b/>
          <w:bCs/>
        </w:rPr>
        <w:fldChar w:fldCharType="begin"/>
      </w:r>
      <w:r w:rsidRPr="005709A2">
        <w:rPr>
          <w:rFonts w:cs="Segoe UI"/>
          <w:b/>
          <w:bCs/>
        </w:rPr>
        <w:instrText xml:space="preserve"> SEQ Tabel_4. \* ARABIC </w:instrText>
      </w:r>
      <w:r w:rsidR="00C459D6" w:rsidRPr="005709A2">
        <w:rPr>
          <w:rFonts w:cs="Segoe UI"/>
          <w:b/>
          <w:bCs/>
        </w:rPr>
        <w:fldChar w:fldCharType="separate"/>
      </w:r>
      <w:r w:rsidRPr="005709A2">
        <w:rPr>
          <w:rFonts w:cs="Segoe UI"/>
          <w:b/>
          <w:bCs/>
          <w:noProof/>
        </w:rPr>
        <w:t>18</w:t>
      </w:r>
      <w:r w:rsidR="00C459D6" w:rsidRPr="005709A2">
        <w:rPr>
          <w:rFonts w:cs="Segoe UI"/>
          <w:b/>
          <w:bCs/>
        </w:rPr>
        <w:fldChar w:fldCharType="end"/>
      </w:r>
      <w:r w:rsidRPr="005709A2">
        <w:rPr>
          <w:rFonts w:cs="Segoe UI"/>
          <w:b/>
          <w:bCs/>
        </w:rPr>
        <w:t xml:space="preserve"> Hasil Uji Simultan (ANOVA) NPL terhadap NIM</w:t>
      </w:r>
      <w:bookmarkEnd w:id="9"/>
    </w:p>
    <w:p w:rsidR="0012521E" w:rsidRPr="005709A2" w:rsidRDefault="0012521E" w:rsidP="0012521E">
      <w:pPr>
        <w:spacing w:after="0" w:line="360" w:lineRule="auto"/>
        <w:jc w:val="center"/>
        <w:rPr>
          <w:rFonts w:cs="Segoe UI"/>
        </w:rPr>
      </w:pPr>
      <w:r w:rsidRPr="005709A2">
        <w:rPr>
          <w:rFonts w:cs="Segoe UI"/>
          <w:noProof/>
          <w:lang w:val="en-US"/>
        </w:rPr>
        <w:drawing>
          <wp:inline distT="0" distB="0" distL="0" distR="0">
            <wp:extent cx="5040630" cy="1664335"/>
            <wp:effectExtent l="0" t="0" r="0" b="0"/>
            <wp:docPr id="1002123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23174" name=""/>
                    <pic:cNvPicPr/>
                  </pic:nvPicPr>
                  <pic:blipFill>
                    <a:blip r:embed="rId22"/>
                    <a:stretch>
                      <a:fillRect/>
                    </a:stretch>
                  </pic:blipFill>
                  <pic:spPr>
                    <a:xfrm>
                      <a:off x="0" y="0"/>
                      <a:ext cx="5040630" cy="1664335"/>
                    </a:xfrm>
                    <a:prstGeom prst="rect">
                      <a:avLst/>
                    </a:prstGeom>
                  </pic:spPr>
                </pic:pic>
              </a:graphicData>
            </a:graphic>
          </wp:inline>
        </w:drawing>
      </w:r>
    </w:p>
    <w:p w:rsidR="0012521E" w:rsidRPr="005709A2" w:rsidRDefault="0012521E" w:rsidP="0012521E">
      <w:pPr>
        <w:spacing w:after="0" w:line="360" w:lineRule="auto"/>
        <w:ind w:left="567" w:firstLine="567"/>
        <w:rPr>
          <w:rFonts w:cs="Segoe UI"/>
        </w:rPr>
      </w:pPr>
      <w:r w:rsidRPr="005709A2">
        <w:rPr>
          <w:rFonts w:cs="Segoe UI"/>
        </w:rPr>
        <w:t>Berdasarkan hasil uji ANOVA pada model regresi NPL terhadap NIM, diperoleh nilai F hitung sebesar 2,894 dengan tingkat signifikansi 0,187. Karena nilai signifikansi tersebut &gt; 0,05 (0,187 &gt; 0,05), maka dapat disimpulkan bahwa model regresi NPL secara simultan tidak berpengaruh signifikan terhadap NIM.</w:t>
      </w:r>
    </w:p>
    <w:p w:rsidR="0012521E" w:rsidRPr="005709A2" w:rsidRDefault="0012521E" w:rsidP="0012521E">
      <w:pPr>
        <w:spacing w:after="0" w:line="360" w:lineRule="auto"/>
        <w:ind w:left="567" w:firstLine="567"/>
        <w:rPr>
          <w:rFonts w:cs="Segoe UI"/>
        </w:rPr>
      </w:pPr>
    </w:p>
    <w:p w:rsidR="0012521E" w:rsidRPr="005709A2" w:rsidRDefault="0012521E" w:rsidP="0012521E">
      <w:pPr>
        <w:pStyle w:val="ListParagraph"/>
        <w:numPr>
          <w:ilvl w:val="0"/>
          <w:numId w:val="9"/>
        </w:numPr>
        <w:spacing w:after="0" w:line="360" w:lineRule="auto"/>
        <w:ind w:left="567" w:hanging="567"/>
        <w:rPr>
          <w:rFonts w:cs="Segoe UI"/>
          <w:b/>
          <w:bCs/>
        </w:rPr>
      </w:pPr>
      <w:r w:rsidRPr="005709A2">
        <w:rPr>
          <w:rFonts w:cs="Segoe UI"/>
          <w:b/>
          <w:bCs/>
        </w:rPr>
        <w:t>Koefisien Korelasi dan Determinasi</w:t>
      </w:r>
    </w:p>
    <w:p w:rsidR="0012521E" w:rsidRPr="005709A2" w:rsidRDefault="0012521E" w:rsidP="0012521E">
      <w:pPr>
        <w:spacing w:after="0" w:line="360" w:lineRule="auto"/>
        <w:jc w:val="center"/>
        <w:rPr>
          <w:rFonts w:cs="Segoe UI"/>
          <w:b/>
          <w:bCs/>
        </w:rPr>
      </w:pPr>
      <w:bookmarkStart w:id="10" w:name="_Toc235924293"/>
      <w:r w:rsidRPr="005709A2">
        <w:rPr>
          <w:rFonts w:cs="Segoe UI"/>
          <w:b/>
          <w:bCs/>
        </w:rPr>
        <w:t xml:space="preserve">Tabel 4. </w:t>
      </w:r>
      <w:r w:rsidR="00C459D6" w:rsidRPr="005709A2">
        <w:rPr>
          <w:rFonts w:cs="Segoe UI"/>
          <w:b/>
          <w:bCs/>
        </w:rPr>
        <w:fldChar w:fldCharType="begin"/>
      </w:r>
      <w:r w:rsidRPr="005709A2">
        <w:rPr>
          <w:rFonts w:cs="Segoe UI"/>
          <w:b/>
          <w:bCs/>
        </w:rPr>
        <w:instrText xml:space="preserve"> SEQ Tabel_4. \* ARABIC </w:instrText>
      </w:r>
      <w:r w:rsidR="00C459D6" w:rsidRPr="005709A2">
        <w:rPr>
          <w:rFonts w:cs="Segoe UI"/>
          <w:b/>
          <w:bCs/>
        </w:rPr>
        <w:fldChar w:fldCharType="separate"/>
      </w:r>
      <w:r w:rsidRPr="005709A2">
        <w:rPr>
          <w:rFonts w:cs="Segoe UI"/>
          <w:b/>
          <w:bCs/>
          <w:noProof/>
        </w:rPr>
        <w:t>19</w:t>
      </w:r>
      <w:r w:rsidR="00C459D6" w:rsidRPr="005709A2">
        <w:rPr>
          <w:rFonts w:cs="Segoe UI"/>
          <w:b/>
          <w:bCs/>
        </w:rPr>
        <w:fldChar w:fldCharType="end"/>
      </w:r>
      <w:r w:rsidRPr="005709A2">
        <w:rPr>
          <w:rFonts w:cs="Segoe UI"/>
          <w:b/>
          <w:bCs/>
        </w:rPr>
        <w:t xml:space="preserve"> Hasil Uji Koefisien Korelasi dan Determinasi NPL terhadap NIM</w:t>
      </w:r>
      <w:bookmarkEnd w:id="10"/>
    </w:p>
    <w:p w:rsidR="0012521E" w:rsidRPr="005709A2" w:rsidRDefault="0012521E" w:rsidP="0012521E">
      <w:pPr>
        <w:spacing w:after="0" w:line="360" w:lineRule="auto"/>
        <w:jc w:val="center"/>
        <w:rPr>
          <w:rFonts w:cs="Segoe UI"/>
        </w:rPr>
      </w:pPr>
      <w:r w:rsidRPr="005709A2">
        <w:rPr>
          <w:rFonts w:cs="Segoe UI"/>
          <w:noProof/>
          <w:lang w:val="en-US"/>
        </w:rPr>
        <w:drawing>
          <wp:inline distT="0" distB="0" distL="0" distR="0">
            <wp:extent cx="4676775" cy="1285875"/>
            <wp:effectExtent l="0" t="0" r="9525" b="9525"/>
            <wp:docPr id="2121712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12111" name=""/>
                    <pic:cNvPicPr/>
                  </pic:nvPicPr>
                  <pic:blipFill>
                    <a:blip r:embed="rId23"/>
                    <a:stretch>
                      <a:fillRect/>
                    </a:stretch>
                  </pic:blipFill>
                  <pic:spPr>
                    <a:xfrm>
                      <a:off x="0" y="0"/>
                      <a:ext cx="4676775" cy="1285875"/>
                    </a:xfrm>
                    <a:prstGeom prst="rect">
                      <a:avLst/>
                    </a:prstGeom>
                  </pic:spPr>
                </pic:pic>
              </a:graphicData>
            </a:graphic>
          </wp:inline>
        </w:drawing>
      </w:r>
    </w:p>
    <w:p w:rsidR="0012521E" w:rsidRPr="005709A2" w:rsidRDefault="0012521E" w:rsidP="0012521E">
      <w:pPr>
        <w:spacing w:after="0" w:line="360" w:lineRule="auto"/>
        <w:ind w:left="567" w:firstLine="567"/>
        <w:rPr>
          <w:rFonts w:cs="Segoe UI"/>
        </w:rPr>
      </w:pPr>
      <w:r w:rsidRPr="005709A2">
        <w:rPr>
          <w:rFonts w:cs="Segoe UI"/>
        </w:rPr>
        <w:t xml:space="preserve">Berdasarkan tabel Model Summary, diperoleh nilai Koefisien Korelasi (R) sebesar 0,701 yang menunjukkan bahwa hubungan antara NPL dan NIM berada pada kategori kuat dan berarah negatif (karena koefisien regresi negatif). Nilai Koefisien Determinasi (R Square) sebesar 0,491 berarti bahwa NPL mampu menjelaskan variasi NIM sebesar 49,1%, sedangkan sisanya sebesar 50,9% dijelaskan oleh variabel-variabel lain di luar penelitian. Nilai Adjusted R Square sebesar 0,321 mengindikasikan bahwa model regresi ini cukup layak digunakan sebagai alat prediksi. Nilai Durbin-Watson sebesar </w:t>
      </w:r>
      <w:r w:rsidRPr="005709A2">
        <w:rPr>
          <w:rFonts w:cs="Segoe UI"/>
        </w:rPr>
        <w:lastRenderedPageBreak/>
        <w:t>1,750 berada di antara 1,5 dan 2,5 (atau 1,156 &lt; 1,750 &lt; 2,844), yang mengindikasikan tidak terjadi autokorelasi pada model ini.</w:t>
      </w:r>
    </w:p>
    <w:p w:rsidR="0012521E" w:rsidRPr="005709A2" w:rsidRDefault="0012521E" w:rsidP="0012521E">
      <w:pPr>
        <w:spacing w:after="0" w:line="360" w:lineRule="auto"/>
        <w:ind w:left="567" w:firstLine="567"/>
        <w:rPr>
          <w:rFonts w:cs="Segoe UI"/>
        </w:rPr>
      </w:pPr>
    </w:p>
    <w:p w:rsidR="0012521E" w:rsidRPr="005709A2" w:rsidRDefault="0012521E" w:rsidP="0012521E">
      <w:pPr>
        <w:pStyle w:val="ListParagraph"/>
        <w:numPr>
          <w:ilvl w:val="0"/>
          <w:numId w:val="9"/>
        </w:numPr>
        <w:spacing w:after="0" w:line="360" w:lineRule="auto"/>
        <w:ind w:left="567" w:hanging="567"/>
        <w:rPr>
          <w:rFonts w:cs="Segoe UI"/>
          <w:b/>
          <w:bCs/>
        </w:rPr>
      </w:pPr>
      <w:r w:rsidRPr="005709A2">
        <w:rPr>
          <w:rFonts w:cs="Segoe UI"/>
          <w:b/>
          <w:bCs/>
        </w:rPr>
        <w:t>Uji Hipotesis (Uji t) → menguji H3</w:t>
      </w:r>
    </w:p>
    <w:p w:rsidR="0012521E" w:rsidRPr="005709A2" w:rsidRDefault="0012521E" w:rsidP="0012521E">
      <w:pPr>
        <w:spacing w:after="0" w:line="360" w:lineRule="auto"/>
        <w:jc w:val="center"/>
        <w:rPr>
          <w:rFonts w:cs="Segoe UI"/>
          <w:b/>
          <w:bCs/>
        </w:rPr>
      </w:pPr>
      <w:bookmarkStart w:id="11" w:name="_Toc235924294"/>
      <w:r w:rsidRPr="005709A2">
        <w:rPr>
          <w:rFonts w:cs="Segoe UI"/>
          <w:b/>
          <w:bCs/>
        </w:rPr>
        <w:t xml:space="preserve">Tabel 4. </w:t>
      </w:r>
      <w:r w:rsidR="00C459D6" w:rsidRPr="005709A2">
        <w:rPr>
          <w:rFonts w:cs="Segoe UI"/>
          <w:b/>
          <w:bCs/>
        </w:rPr>
        <w:fldChar w:fldCharType="begin"/>
      </w:r>
      <w:r w:rsidRPr="005709A2">
        <w:rPr>
          <w:rFonts w:cs="Segoe UI"/>
          <w:b/>
          <w:bCs/>
        </w:rPr>
        <w:instrText xml:space="preserve"> SEQ Tabel_4. \* ARABIC </w:instrText>
      </w:r>
      <w:r w:rsidR="00C459D6" w:rsidRPr="005709A2">
        <w:rPr>
          <w:rFonts w:cs="Segoe UI"/>
          <w:b/>
          <w:bCs/>
        </w:rPr>
        <w:fldChar w:fldCharType="separate"/>
      </w:r>
      <w:r w:rsidRPr="005709A2">
        <w:rPr>
          <w:rFonts w:cs="Segoe UI"/>
          <w:b/>
          <w:bCs/>
          <w:noProof/>
        </w:rPr>
        <w:t>20</w:t>
      </w:r>
      <w:r w:rsidR="00C459D6" w:rsidRPr="005709A2">
        <w:rPr>
          <w:rFonts w:cs="Segoe UI"/>
          <w:b/>
          <w:bCs/>
        </w:rPr>
        <w:fldChar w:fldCharType="end"/>
      </w:r>
      <w:r w:rsidRPr="005709A2">
        <w:rPr>
          <w:rFonts w:cs="Segoe UI"/>
          <w:b/>
          <w:bCs/>
        </w:rPr>
        <w:t xml:space="preserve"> Hasil Uji Hipotesis (Uji t) NPL terhadap NIM</w:t>
      </w:r>
      <w:bookmarkEnd w:id="11"/>
    </w:p>
    <w:p w:rsidR="0012521E" w:rsidRPr="005709A2" w:rsidRDefault="0012521E" w:rsidP="0012521E">
      <w:pPr>
        <w:spacing w:after="0" w:line="360" w:lineRule="auto"/>
        <w:jc w:val="center"/>
        <w:rPr>
          <w:rFonts w:cs="Segoe UI"/>
        </w:rPr>
      </w:pPr>
      <w:r w:rsidRPr="005709A2">
        <w:rPr>
          <w:rFonts w:cs="Segoe UI"/>
          <w:noProof/>
          <w:lang w:val="en-US"/>
        </w:rPr>
        <w:drawing>
          <wp:inline distT="0" distB="0" distL="0" distR="0">
            <wp:extent cx="5040630" cy="1360805"/>
            <wp:effectExtent l="0" t="0" r="0" b="0"/>
            <wp:docPr id="1966459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59044" name=""/>
                    <pic:cNvPicPr/>
                  </pic:nvPicPr>
                  <pic:blipFill>
                    <a:blip r:embed="rId24"/>
                    <a:stretch>
                      <a:fillRect/>
                    </a:stretch>
                  </pic:blipFill>
                  <pic:spPr>
                    <a:xfrm>
                      <a:off x="0" y="0"/>
                      <a:ext cx="5040630" cy="1360805"/>
                    </a:xfrm>
                    <a:prstGeom prst="rect">
                      <a:avLst/>
                    </a:prstGeom>
                  </pic:spPr>
                </pic:pic>
              </a:graphicData>
            </a:graphic>
          </wp:inline>
        </w:drawing>
      </w:r>
    </w:p>
    <w:p w:rsidR="0012521E" w:rsidRPr="005709A2" w:rsidRDefault="0012521E" w:rsidP="0012521E">
      <w:pPr>
        <w:spacing w:after="0" w:line="360" w:lineRule="auto"/>
        <w:ind w:left="567" w:firstLine="567"/>
        <w:rPr>
          <w:rFonts w:cs="Segoe UI"/>
        </w:rPr>
      </w:pPr>
      <w:r w:rsidRPr="005709A2">
        <w:rPr>
          <w:rFonts w:cs="Segoe UI"/>
        </w:rPr>
        <w:t xml:space="preserve">Berdasarkan tabel Coefficients, diperoleh persamaan regresi NIM = 7,654 - 0,387 NPL. Nilai konstanta sebesar 7,654 menunjukkan bahwa jika NPL = 0%, maka NIM diprediksi sebesar 7,654%. Koefisien regresi NPL sebesar -0,387 menunjukkan bahwa setiap kenaikan NPL sebesar 1% akan menurunkan NIM sebesar 0,387%, yang mengindikasikan pengaruh negatif NPL terhadap NIM. Namun, hasil uji t menunjukkan nilai Sig. = 0,187 &gt; 0,05 (atau t hitung -1,701 &lt; t tabel 3,182), sehingga NPL tidak berpengaruh signifikan terhadap NIM pada tingkat kepercayaan 95%. </w:t>
      </w:r>
    </w:p>
    <w:p w:rsidR="0012521E" w:rsidRPr="005709A2" w:rsidRDefault="0012521E" w:rsidP="00985560">
      <w:pPr>
        <w:ind w:left="567" w:right="322" w:firstLine="567"/>
        <w:rPr>
          <w:rFonts w:cs="Segoe UI"/>
          <w:b/>
        </w:rPr>
      </w:pPr>
    </w:p>
    <w:p w:rsidR="00985560" w:rsidRPr="005709A2" w:rsidRDefault="00985560" w:rsidP="009E5D6B">
      <w:pPr>
        <w:pStyle w:val="Heading2"/>
        <w:numPr>
          <w:ilvl w:val="1"/>
          <w:numId w:val="12"/>
        </w:numPr>
        <w:rPr>
          <w:rStyle w:val="longtext"/>
          <w:rFonts w:cs="Segoe UI"/>
          <w:sz w:val="22"/>
          <w:szCs w:val="22"/>
        </w:rPr>
      </w:pPr>
      <w:r w:rsidRPr="005709A2">
        <w:rPr>
          <w:rStyle w:val="longtext"/>
          <w:rFonts w:cs="Segoe UI"/>
          <w:sz w:val="22"/>
          <w:szCs w:val="22"/>
        </w:rPr>
        <w:t>Pembahasan</w:t>
      </w:r>
    </w:p>
    <w:p w:rsidR="0012521E" w:rsidRPr="005709A2" w:rsidRDefault="0012521E" w:rsidP="009E5D6B">
      <w:pPr>
        <w:pStyle w:val="ListParagraph"/>
        <w:numPr>
          <w:ilvl w:val="0"/>
          <w:numId w:val="13"/>
        </w:numPr>
        <w:spacing w:after="0" w:line="360" w:lineRule="auto"/>
        <w:rPr>
          <w:rFonts w:cs="Segoe UI"/>
          <w:b/>
          <w:bCs/>
        </w:rPr>
      </w:pPr>
      <w:r w:rsidRPr="005709A2">
        <w:rPr>
          <w:rFonts w:cs="Segoe UI"/>
          <w:b/>
          <w:bCs/>
        </w:rPr>
        <w:t>Pengaruh NPL terhadap ROA</w:t>
      </w:r>
    </w:p>
    <w:p w:rsidR="0012521E" w:rsidRPr="005709A2" w:rsidRDefault="0012521E" w:rsidP="0012521E">
      <w:pPr>
        <w:pStyle w:val="ListParagraph"/>
        <w:spacing w:after="0" w:line="360" w:lineRule="auto"/>
        <w:ind w:left="567" w:firstLine="567"/>
        <w:rPr>
          <w:rFonts w:cs="Segoe UI"/>
        </w:rPr>
      </w:pPr>
      <w:r w:rsidRPr="005709A2">
        <w:rPr>
          <w:rFonts w:cs="Segoe UI"/>
        </w:rPr>
        <w:t>Hasil analisis regresi linear sederhana menunjukkan bahwa Non-Performing Loan (NPL) memiliki pengaruh negatif terhadap Return on Assets (ROA) Bank Papua selama periode 2020–2024. Persamaan regresi yang diperoleh adalah ROA = 1,890 - 0,045 NPL, yang mengindikasikan bahwa setiap peningkatan NPL sebesar 1% akan diikuti oleh penurunan ROA sebesar 0,045%. Temuan ini sejalan dengan hipotesis pertama (H1) yang menyatakan bahwa NPL berpengaruh negatif terhadap ROA. Arah hubungan negatif ini juga didukung oleh nilai koefisien korelasi (R) sebesar 0,309 yang menunjukkan hubungan yang rendah namun konsisten dengan teori manajemen risiko perbankan. Teori yang dikemukakan oleh Kasmir (2019) menyatakan bahwa risiko kredit merupakan risiko kerugian yang diakibatkan oleh tidak tertagihnya pinjaman, yang pada akhirnya akan menekan laba bank. Semakin tinggi kredit bermasalah, semakin besar beban yang harus ditanggung bank dalam bentuk pencadangan kerugian kredit, sehingga laba bersih yang tersedia semakin kecil.</w:t>
      </w:r>
    </w:p>
    <w:p w:rsidR="0012521E" w:rsidRPr="005709A2" w:rsidRDefault="0012521E" w:rsidP="0012521E">
      <w:pPr>
        <w:pStyle w:val="ListParagraph"/>
        <w:spacing w:after="0" w:line="360" w:lineRule="auto"/>
        <w:ind w:left="567" w:firstLine="567"/>
        <w:rPr>
          <w:rFonts w:cs="Segoe UI"/>
        </w:rPr>
      </w:pPr>
      <w:r w:rsidRPr="005709A2">
        <w:rPr>
          <w:rFonts w:cs="Segoe UI"/>
        </w:rPr>
        <w:lastRenderedPageBreak/>
        <w:t>Penurunan NPL yang konsisten dari 4,17% pada tahun 2020 menjadi 2,36% pada tahun 2024 menunjukkan bahwa Bank Papua telah berhasil memperbaiki kualitas asetnya. Perbaikan ini seharusnya berdampak positif terhadap ROA, mengingat semakin rendah kredit bermasalah maka semakin kecil biaya pencadangan yang harus dibentuk. Namun, fakta menunjukkan bahwa ROA justru mengalami fluktuasi dengan penurunan pada tahun 2023 (1,62%) sebelum kembali meningkat pada tahun 2024 (1,89%). Hal ini mengindikasikan bahwa meskipun kualitas kredit membaik, terdapat faktor-faktor lain yang turut mempengaruhi kemampuan Bank Papua dalam menghasilkan laba dari asetnya, seperti efisiensi operasional yang tercermin dalam rasio BOPO.</w:t>
      </w:r>
    </w:p>
    <w:p w:rsidR="0012521E" w:rsidRPr="005709A2" w:rsidRDefault="0012521E" w:rsidP="0012521E">
      <w:pPr>
        <w:pStyle w:val="ListParagraph"/>
        <w:spacing w:after="0" w:line="360" w:lineRule="auto"/>
        <w:ind w:left="567" w:firstLine="567"/>
        <w:rPr>
          <w:rFonts w:cs="Segoe UI"/>
        </w:rPr>
      </w:pPr>
      <w:r w:rsidRPr="005709A2">
        <w:rPr>
          <w:rFonts w:cs="Segoe UI"/>
        </w:rPr>
        <w:t>Berdasarkan kerangka pemikiran yang telah dirumuskan, hubungan negatif antara NPL dan ROA terjadi melalui mekanisme peningkatan biaya pencadangan kerugian penurunan nilai (CKPN). Ketika kredit diklasifikasikan sebagai bermasalah, bank diwajibkan untuk membentuk cadangan kerugian yang cukup besar sesuai dengan ketentuan Otoritas Jasa Keuangan. Pembentukan CKPN ini merupakan beban yang secara langsung mengurangi laba operasional bank. Rivai, dkk. (2013) menegaskan bahwa risiko kredit tidak hanya berdampak pada penurunan pendapatan bunga, tetapi juga meningkatkan biaya pencadangan kerugian kredit yang secara langsung menggerus laba bersih bank.</w:t>
      </w:r>
    </w:p>
    <w:p w:rsidR="0012521E" w:rsidRPr="005709A2" w:rsidRDefault="0012521E" w:rsidP="0012521E">
      <w:pPr>
        <w:pStyle w:val="ListParagraph"/>
        <w:spacing w:after="0" w:line="360" w:lineRule="auto"/>
        <w:ind w:left="567" w:firstLine="567"/>
        <w:rPr>
          <w:rFonts w:cs="Segoe UI"/>
        </w:rPr>
      </w:pPr>
      <w:r w:rsidRPr="005709A2">
        <w:rPr>
          <w:rFonts w:cs="Segoe UI"/>
        </w:rPr>
        <w:t>Hasil penelitian ini menunjukkan bahwa kontribusi NPL dalam menjelaskan variasi ROA hanya sebesar 9,5% (R² = 0,095), yang berarti masih terdapat 90,5% faktor lain yang mempengaruhi ROA Bank Papua. Faktor-faktor tersebut antara lain adalah efisiensi operasional (BOPO), kecukupan modal (CAR), likuiditas (LDR), pendapatan non-bunga, serta kondisi makroekonomi seperti inflasi dan suku bunga acuan. Namun demikian, penelitian ini berhasil membuktikan bahwa secara teoritis NPL memiliki pengaruh negatif terhadap ROA sesuai dengan teori manajemen risiko yang menyatakan bahwa peningkatan risiko kredit akan menurunkan profitabilitas bank.</w:t>
      </w:r>
    </w:p>
    <w:p w:rsidR="0012521E" w:rsidRPr="005709A2" w:rsidRDefault="0012521E" w:rsidP="0012521E">
      <w:pPr>
        <w:pStyle w:val="ListParagraph"/>
        <w:spacing w:after="0" w:line="360" w:lineRule="auto"/>
        <w:ind w:left="567" w:firstLine="567"/>
        <w:rPr>
          <w:rFonts w:cs="Segoe UI"/>
        </w:rPr>
      </w:pPr>
      <w:r w:rsidRPr="005709A2">
        <w:rPr>
          <w:rFonts w:cs="Segoe UI"/>
        </w:rPr>
        <w:t>Hasil pengujian hipotesis menunjukkan bahwa nilai signifikansi uji t sebesar 0,613 (&gt; 0,05), yang berarti NPL tidak berpengaruh signifikan terhadap ROA secara statistik pada tingkat kepercayaan 95%. Ketidaksignifikan ini kemungkinan disebabkan oleh keterbatasan jumlah sampel (N=5) yang menjadi karakteristik penelitian studi kasus dengan periode waktu terbatas. Meskipun demikian, hasil ini tidak serta merta meniadakan hubungan negatif yang telah terbukti secara teoritis dan empiris dari penelitian-penelitian sebelumnya.</w:t>
      </w:r>
    </w:p>
    <w:p w:rsidR="0012521E" w:rsidRPr="005709A2" w:rsidRDefault="0012521E" w:rsidP="0012521E">
      <w:pPr>
        <w:pStyle w:val="ListParagraph"/>
        <w:spacing w:after="0" w:line="360" w:lineRule="auto"/>
        <w:ind w:left="567" w:firstLine="567"/>
        <w:rPr>
          <w:rFonts w:cs="Segoe UI"/>
        </w:rPr>
      </w:pPr>
      <w:r w:rsidRPr="005709A2">
        <w:rPr>
          <w:rFonts w:cs="Segoe UI"/>
        </w:rPr>
        <w:lastRenderedPageBreak/>
        <w:t>Temuan ini sejalan dengan penelitian Soumokil (2017) yang membuktikan bahwa risiko kredit berpengaruh signifikan terhadap profitabilitas Bank Papua, baik yang diukur menggunakan ROA maupun ROE. Namun, penelitian Soumokil menggunakan periode data yang lebih panjang sehingga menghasilkan tingkat signifikansi yang lebih kuat. Perbedaan periode pengamatan ini menjadi salah satu faktor yang mempengaruhi perbedaan tingkat signifikansi antara kedua penelitian tersebut.</w:t>
      </w:r>
    </w:p>
    <w:p w:rsidR="0012521E" w:rsidRPr="005709A2" w:rsidRDefault="0012521E" w:rsidP="0012521E">
      <w:pPr>
        <w:pStyle w:val="ListParagraph"/>
        <w:spacing w:after="0" w:line="360" w:lineRule="auto"/>
        <w:ind w:left="567" w:firstLine="567"/>
        <w:rPr>
          <w:rFonts w:cs="Segoe UI"/>
        </w:rPr>
      </w:pPr>
      <w:r w:rsidRPr="005709A2">
        <w:rPr>
          <w:rFonts w:cs="Segoe UI"/>
        </w:rPr>
        <w:t>Penelitian Kurniasti dan Budiantara (2023) juga mengindikasikan bahwa risiko kredit berpengaruh signifikan terhadap kinerja keuangan Bank Papua yang diproksikan dengan ROA. Hasil penelitian tersebut memperkuat argumentasi bahwa pengelolaan risiko kredit merupakan prioritas utama dalam menjaga stabilitas profitabilitas Bank Papua. Kualitas kredit yang baik akan mengurangi beban pencadangan dan meningkatkan pendapatan bunga yang dapat direalisasikan, sehingga ROA dapat dipertahankan pada level yang sehat.</w:t>
      </w:r>
    </w:p>
    <w:p w:rsidR="0012521E" w:rsidRPr="005709A2" w:rsidRDefault="0012521E" w:rsidP="0012521E">
      <w:pPr>
        <w:pStyle w:val="ListParagraph"/>
        <w:spacing w:after="0" w:line="360" w:lineRule="auto"/>
        <w:ind w:left="567" w:firstLine="567"/>
        <w:rPr>
          <w:rFonts w:cs="Segoe UI"/>
        </w:rPr>
      </w:pPr>
      <w:r w:rsidRPr="005709A2">
        <w:rPr>
          <w:rFonts w:cs="Segoe UI"/>
        </w:rPr>
        <w:t>Rata-rata ROA Bank Papua selama periode penelitian adalah 1,7520%, yang masih berada di atas ketentuan minimum Bank Indonesia sebesar 1,5%. Hal ini menunjukkan bahwa meskipun pengaruh NPL tidak signifikan secara statistik, secara fundamental Bank Papua tetap mampu menjaga tingkat profitabilitas yang sehat. Kondisi ini diperkuat oleh fakta bahwa NPL Bank Papua selalu berada di bawah batas maksimum regulator sebesar 5%, yang mencerminkan pengelolaan risiko kredit yang prudent oleh manajemen Bank Papua.</w:t>
      </w:r>
    </w:p>
    <w:p w:rsidR="0012521E" w:rsidRPr="005709A2" w:rsidRDefault="0012521E" w:rsidP="0012521E">
      <w:pPr>
        <w:pStyle w:val="ListParagraph"/>
        <w:spacing w:after="0" w:line="360" w:lineRule="auto"/>
        <w:ind w:left="567" w:firstLine="567"/>
        <w:rPr>
          <w:rFonts w:cs="Segoe UI"/>
        </w:rPr>
      </w:pPr>
      <w:r w:rsidRPr="005709A2">
        <w:rPr>
          <w:rFonts w:cs="Segoe UI"/>
        </w:rPr>
        <w:t>Implikasi dari temuan ini bagi manajemen Bank Papua adalah perlunya terus meningkatkan kualitas kredit melalui penerapan prinsip kehati-hatian dalam setiap proses perkreditan, mulai dari analisis awal, pemberian persetujuan, hingga pemantauan berkala terhadap debitur. Langkah-langkah strategis seperti penguatan proses credit scoring, peningkatan kompetensi analis kredit, dan penerapan sistem early warning system perlu terus dikembangkan untuk mempertahankan tren penurunan NPL yang telah dicapai selama periode 2020–2024.</w:t>
      </w:r>
    </w:p>
    <w:p w:rsidR="0012521E" w:rsidRPr="005709A2" w:rsidRDefault="0012521E" w:rsidP="0012521E">
      <w:pPr>
        <w:pStyle w:val="ListParagraph"/>
        <w:spacing w:after="0" w:line="360" w:lineRule="auto"/>
        <w:ind w:left="567" w:firstLine="567"/>
        <w:rPr>
          <w:rFonts w:cs="Segoe UI"/>
        </w:rPr>
      </w:pPr>
      <w:r w:rsidRPr="005709A2">
        <w:rPr>
          <w:rFonts w:cs="Segoe UI"/>
        </w:rPr>
        <w:t>Secara keseluruhan, meskipun secara statistik pengaruh NPL terhadap ROA tidak signifikan pada tingkat kepercayaan 95%, arah hubungan negatif yang konsisten dengan teori dan penelitian terdahulu memberikan keyakinan bahwa peningkatan kualitas kredit akan berdampak positif terhadap profitabilitas Bank Papua. Penelitian ini memperkaya khazanah keilmuan manajemen risiko perbankan, khususnya dalam konteks Bank Pembangunan Daerah di wilayah Indonesia Timur yang memiliki karakteristik dan tantangan tersendiri dalam pengelolaan risiko kredit.</w:t>
      </w:r>
    </w:p>
    <w:p w:rsidR="0012521E" w:rsidRPr="005709A2" w:rsidRDefault="0012521E" w:rsidP="009E5D6B">
      <w:pPr>
        <w:pStyle w:val="ListParagraph"/>
        <w:numPr>
          <w:ilvl w:val="0"/>
          <w:numId w:val="13"/>
        </w:numPr>
        <w:spacing w:after="0" w:line="360" w:lineRule="auto"/>
        <w:rPr>
          <w:rFonts w:cs="Segoe UI"/>
          <w:b/>
          <w:bCs/>
        </w:rPr>
      </w:pPr>
      <w:r w:rsidRPr="005709A2">
        <w:rPr>
          <w:rFonts w:cs="Segoe UI"/>
          <w:b/>
          <w:bCs/>
        </w:rPr>
        <w:lastRenderedPageBreak/>
        <w:t>Pengaruh NPL terhadap ROE</w:t>
      </w:r>
    </w:p>
    <w:p w:rsidR="0012521E" w:rsidRPr="005709A2" w:rsidRDefault="0012521E" w:rsidP="0012521E">
      <w:pPr>
        <w:pStyle w:val="ListParagraph"/>
        <w:spacing w:after="0" w:line="360" w:lineRule="auto"/>
        <w:ind w:left="567" w:firstLine="567"/>
        <w:rPr>
          <w:rFonts w:cs="Segoe UI"/>
        </w:rPr>
      </w:pPr>
      <w:r w:rsidRPr="005709A2">
        <w:rPr>
          <w:rFonts w:cs="Segoe UI"/>
        </w:rPr>
        <w:t>Hasil analisis regresi linear sederhana menunjukkan bahwa Non-Performing Loan (NPL) memiliki pengaruh negatif terhadap Return on Equity (ROE) Bank Papua selama periode 2020–2024. Persamaan regresi yang diperoleh adalah ROE = 12,006 - 0,131 NPL, yang mengindikasikan bahwa setiap peningkatan NPL sebesar 1% akan diikuti oleh penurunan ROE sebesar 0,131%. Temuan ini sejalan dengan hipotesis kedua (H2) yang menyatakan bahwa NPL berpengaruh negatif terhadap ROE. ROE merupakan rasio yang menunjukkan kemampuan perusahaan dalam menghasilkan laba dari modal sendiri atau ekuitas yang ditanamkan oleh pemegang saham. Ketika NPL meningkat, laba bersih yang tersedia bagi pemegang saham akan menurun karena adanya tambahan beban pencadangan kerugian kredit dan potensi penurunan pendapatan bunga, sehingga imbal hasil yang diterima oleh pemegang saham menjadi lebih rendah.</w:t>
      </w:r>
    </w:p>
    <w:p w:rsidR="0012521E" w:rsidRPr="005709A2" w:rsidRDefault="0012521E" w:rsidP="0012521E">
      <w:pPr>
        <w:pStyle w:val="ListParagraph"/>
        <w:spacing w:after="0" w:line="360" w:lineRule="auto"/>
        <w:ind w:left="567" w:firstLine="567"/>
        <w:rPr>
          <w:rFonts w:cs="Segoe UI"/>
        </w:rPr>
      </w:pPr>
      <w:r w:rsidRPr="005709A2">
        <w:rPr>
          <w:rFonts w:cs="Segoe UI"/>
        </w:rPr>
        <w:t>Teori yang dikemukakan oleh Dendawijaya (2009) menyatakan bahwa risiko kredit merupakan ancaman kegagalan nasabah dalam mengembalikan pinjaman beserta bunganya, yang jika tidak dikelola dengan baik dapat mengganggu permodalan bank. Gangguan terhadap permodalan ini secara langsung akan mempengaruhi tingkat pengembalian kepada pemegang saham karena ekuitas yang tersedia untuk menghasilkan laba menjadi kurang optimal. Semakin tinggi kredit bermasalah, semakin besar dana yang harus dialokasikan untuk pembentukan CKPN, yang pada akhirnya mengurangi laba ditahan dan memperlambat pertumbuhan ekuitas bank.</w:t>
      </w:r>
    </w:p>
    <w:p w:rsidR="0012521E" w:rsidRPr="005709A2" w:rsidRDefault="0012521E" w:rsidP="0012521E">
      <w:pPr>
        <w:pStyle w:val="ListParagraph"/>
        <w:spacing w:after="0" w:line="360" w:lineRule="auto"/>
        <w:ind w:left="567" w:firstLine="567"/>
        <w:rPr>
          <w:rFonts w:cs="Segoe UI"/>
        </w:rPr>
      </w:pPr>
      <w:r w:rsidRPr="005709A2">
        <w:rPr>
          <w:rFonts w:cs="Segoe UI"/>
        </w:rPr>
        <w:t>Penurunan NPL Bank Papua dari 4,17% pada tahun 2020 menjadi 2,36% pada tahun 2024 seharusnya memberikan ruang bagi peningkatan ROE, karena beban pencadangan yang lebih kecil akan meningkatkan laba bersih yang tersedia bagi pemegang saham. Namun, fakta menunjukkan bahwa ROE Bank Papua justru mengalami fluktuasi yang cukup tinggi dengan standar deviasi 1,50103, yang merupakan variabilitas tertinggi di antara seluruh variabel dependen dalam penelitian ini. Pada tahun 2022, ROE mencapai puncak tertinggi sebesar 14,28% sebelum kembali menurun pada tahun 2023 (11,08%) dan 2024 (10,94%). Fluktuasi ini menunjukkan bahwa selain NPL, terdapat faktor-faktor lain yang lebih dominan mempengaruhi ROE, seperti perubahan struktur modal, kebijakan dividen, dan kinerja operasional secara keseluruhan.</w:t>
      </w:r>
    </w:p>
    <w:p w:rsidR="0012521E" w:rsidRPr="005709A2" w:rsidRDefault="0012521E" w:rsidP="0012521E">
      <w:pPr>
        <w:pStyle w:val="ListParagraph"/>
        <w:spacing w:after="0" w:line="360" w:lineRule="auto"/>
        <w:ind w:left="567" w:firstLine="567"/>
        <w:rPr>
          <w:rFonts w:cs="Segoe UI"/>
        </w:rPr>
      </w:pPr>
      <w:r w:rsidRPr="005709A2">
        <w:rPr>
          <w:rFonts w:cs="Segoe UI"/>
        </w:rPr>
        <w:t xml:space="preserve">Berdasarkan kerangka pemikiran yang telah dirumuskan, hubungan negatif antara NPL dan ROE terjadi melalui mekanisme penurunan laba bersih yang berdampak pada tingkat pengembalian kepada pemegang saham. Ketika kredit bermasalah meningkat, bank harus membentuk CKPN yang </w:t>
      </w:r>
      <w:r w:rsidRPr="005709A2">
        <w:rPr>
          <w:rFonts w:cs="Segoe UI"/>
        </w:rPr>
        <w:lastRenderedPageBreak/>
        <w:t>lebih besar, yang secara langsung mengurangi laba bersih. Penurunan laba bersih ini, dengan jumlah ekuitas yang relatif tetap, akan menyebabkan ROE menurun. Kasmir (2019) dalam teorinya menekankan bahwa kinerja keuangan bank sangat dipengaruhi oleh kemampuan manajemen dalam mengelola risiko kredit, di mana peningkatan NPL akan menggerus laba dan pada akhirnya menurunkan nilai perusahaan di mata pemegang saham.</w:t>
      </w:r>
    </w:p>
    <w:p w:rsidR="0012521E" w:rsidRPr="005709A2" w:rsidRDefault="0012521E" w:rsidP="0012521E">
      <w:pPr>
        <w:pStyle w:val="ListParagraph"/>
        <w:spacing w:after="0" w:line="360" w:lineRule="auto"/>
        <w:ind w:left="567" w:firstLine="567"/>
        <w:rPr>
          <w:rFonts w:cs="Segoe UI"/>
        </w:rPr>
      </w:pPr>
      <w:r w:rsidRPr="005709A2">
        <w:rPr>
          <w:rFonts w:cs="Segoe UI"/>
        </w:rPr>
        <w:t>Hasil penelitian ini menunjukkan bahwa kontribusi NPL dalam menjelaskan variasi ROE hanya sebesar 0,4% (R² = 0,004), yang berarti hampir seluruh variasi ROE (99,6%) dijelaskan oleh faktor-faktor lain di luar NPL. Faktor-faktor tersebut antara lain adalah struktur modal bank, kebijakan dividen, efisiensi operasional, pendapatan non-bunga, serta kondisi makroekonomi yang mempengaruhi kinerja perbankan secara keseluruhan. Rendahnya kontribusi NPL terhadap ROE mengindikasikan bahwa ROE lebih sensitif terhadap perubahan struktur permodalan dan kebijakan manajemen dibandingkan dengan perubahan kualitas kredit.</w:t>
      </w:r>
    </w:p>
    <w:p w:rsidR="0012521E" w:rsidRPr="005709A2" w:rsidRDefault="0012521E" w:rsidP="0012521E">
      <w:pPr>
        <w:pStyle w:val="ListParagraph"/>
        <w:spacing w:after="0" w:line="360" w:lineRule="auto"/>
        <w:ind w:left="567" w:firstLine="567"/>
        <w:rPr>
          <w:rFonts w:cs="Segoe UI"/>
        </w:rPr>
      </w:pPr>
      <w:r w:rsidRPr="005709A2">
        <w:rPr>
          <w:rFonts w:cs="Segoe UI"/>
        </w:rPr>
        <w:t>Hasil pengujian hipotesis menunjukkan bahwa nilai signifikansi uji t sebesar 0,917 (&gt; 0,05), yang berarti NPL tidak berpengaruh signifikan terhadap ROE secara statistik pada tingkat kepercayaan 95%. Ketidaksignifikan ini sejalan dengan hasil uji normalitas yang menunjukkan bahwa data residual pada model regresi NPL terhadap ROE tidak berdistribusi normal, yang disebabkan oleh nilai skewness (2,193) dan kurtosis (4,844) yang berada di luar rentang -2 hingga +2. Ketidaknormalan ini kemungkinan disebabkan oleh adanya data outlier pada tahun 2022 di mana ROE mencapai 14,28%, sementara tahun-tahun lainnya berada di kisaran 10,74%–11,08%.</w:t>
      </w:r>
    </w:p>
    <w:p w:rsidR="0012521E" w:rsidRPr="005709A2" w:rsidRDefault="0012521E" w:rsidP="0012521E">
      <w:pPr>
        <w:pStyle w:val="ListParagraph"/>
        <w:spacing w:after="0" w:line="360" w:lineRule="auto"/>
        <w:ind w:left="567" w:firstLine="567"/>
        <w:rPr>
          <w:rFonts w:cs="Segoe UI"/>
        </w:rPr>
      </w:pPr>
      <w:r w:rsidRPr="005709A2">
        <w:rPr>
          <w:rFonts w:cs="Segoe UI"/>
        </w:rPr>
        <w:t>Temuan ini berbeda dengan penelitian Soumokil (2017) yang membuktikan bahwa risiko kredit berpengaruh signifikan terhadap ROE Bank Papua. Perbedaan hasil ini dapat disebabkan oleh perbedaan periode pengamatan, di mana penelitian Soumokil menggunakan data yang lebih panjang sehingga menghasilkan tingkat signifikansi yang lebih kuat. Penelitian Dayana dan Untu (2019) pada seluruh Bank Pembangunan Daerah di Indonesia juga menemukan bahwa risiko kredit berpengaruh negatif terhadap kinerja keuangan secara konsisten. Hal ini mengindikasikan bahwa secara umum NPL memiliki pengaruh negatif terhadap ROE, namun tingkat signifikansinya sangat bergantung pada karakteristik data dan periode pengamatan yang digunakan.</w:t>
      </w:r>
    </w:p>
    <w:p w:rsidR="0012521E" w:rsidRPr="005709A2" w:rsidRDefault="0012521E" w:rsidP="0012521E">
      <w:pPr>
        <w:pStyle w:val="ListParagraph"/>
        <w:spacing w:after="0" w:line="360" w:lineRule="auto"/>
        <w:ind w:left="567" w:firstLine="567"/>
        <w:rPr>
          <w:rFonts w:cs="Segoe UI"/>
        </w:rPr>
      </w:pPr>
      <w:r w:rsidRPr="005709A2">
        <w:rPr>
          <w:rFonts w:cs="Segoe UI"/>
        </w:rPr>
        <w:t xml:space="preserve">Rata-rata ROE Bank Papua selama periode penelitian adalah 11,6040%, yang menunjukkan bahwa Bank Papua mampu memberikan imbal hasil yang cukup baik bagi pemegang saham. Angka ini masih tergolong sehat jika dibandingkan dengan rata-rata industri perbankan nasional. </w:t>
      </w:r>
      <w:r w:rsidRPr="005709A2">
        <w:rPr>
          <w:rFonts w:cs="Segoe UI"/>
        </w:rPr>
        <w:lastRenderedPageBreak/>
        <w:t>Kemampuan Bank Papua dalam mempertahankan ROE pada level yang cukup tinggi meskipun menghadapi tantangan dari fluktuasi NPL menunjukkan bahwa manajemen Bank Papua memiliki kapabilitas yang baik dalam mengelola struktur permodalan dan menghasilkan laba yang optimal bagi pemegang saham.</w:t>
      </w:r>
    </w:p>
    <w:p w:rsidR="0012521E" w:rsidRPr="005709A2" w:rsidRDefault="0012521E" w:rsidP="0012521E">
      <w:pPr>
        <w:pStyle w:val="ListParagraph"/>
        <w:spacing w:after="0" w:line="360" w:lineRule="auto"/>
        <w:ind w:left="567" w:firstLine="567"/>
        <w:rPr>
          <w:rFonts w:cs="Segoe UI"/>
        </w:rPr>
      </w:pPr>
      <w:r w:rsidRPr="005709A2">
        <w:rPr>
          <w:rFonts w:cs="Segoe UI"/>
        </w:rPr>
        <w:t>Implikasi dari temuan ini bagi manajemen Bank Papua adalah pentingnya menjaga keseimbangan antara pertumbuhan kredit, kualitas aset, dan struktur permodalan. Peningkatan kualitas kredit melalui penurunan NPL akan memberikan kontribusi positif terhadap ROE melalui pengurangan beban pencadangan dan peningkatan laba bersih. Namun demikian, manajemen juga perlu memperhatikan faktor-faktor lain yang lebih dominan mempengaruhi ROE, seperti efisiensi operasional, optimalisasi pendapatan non-bunga, dan kebijakan permodalan yang prudent.</w:t>
      </w:r>
    </w:p>
    <w:p w:rsidR="0012521E" w:rsidRPr="005709A2" w:rsidRDefault="0012521E" w:rsidP="0012521E">
      <w:pPr>
        <w:pStyle w:val="ListParagraph"/>
        <w:spacing w:after="0" w:line="360" w:lineRule="auto"/>
        <w:ind w:left="567" w:firstLine="567"/>
        <w:rPr>
          <w:rFonts w:cs="Segoe UI"/>
        </w:rPr>
      </w:pPr>
      <w:r w:rsidRPr="005709A2">
        <w:rPr>
          <w:rFonts w:cs="Segoe UI"/>
        </w:rPr>
        <w:t>Secara keseluruhan, meskipun secara statistik pengaruh NPL terhadap ROE tidak signifikan pada tingkat kepercayaan 95%, arah hubungan negatif yang konsisten dengan teori dan penelitian terdahulu memberikan keyakinan bahwa peningkatan kualitas kredit akan berdampak positif terhadap imbal hasil bagi pemegang saham Bank Papua. Penelitian ini juga mengidentifikasi bahwa ROE memiliki variabilitas yang lebih tinggi dibandingkan variabel dependen lainnya, sehingga memerlukan perhatian khusus dari manajemen dalam mengelola faktor-faktor yang mempengaruhinya.</w:t>
      </w:r>
    </w:p>
    <w:p w:rsidR="0012521E" w:rsidRPr="005709A2" w:rsidRDefault="0012521E" w:rsidP="009E5D6B">
      <w:pPr>
        <w:pStyle w:val="ListParagraph"/>
        <w:numPr>
          <w:ilvl w:val="0"/>
          <w:numId w:val="13"/>
        </w:numPr>
        <w:spacing w:after="0" w:line="360" w:lineRule="auto"/>
        <w:rPr>
          <w:rFonts w:cs="Segoe UI"/>
          <w:b/>
          <w:bCs/>
        </w:rPr>
      </w:pPr>
      <w:r w:rsidRPr="005709A2">
        <w:rPr>
          <w:rFonts w:cs="Segoe UI"/>
          <w:b/>
          <w:bCs/>
        </w:rPr>
        <w:t>Pengaruh NPL terhadap NIM</w:t>
      </w:r>
    </w:p>
    <w:p w:rsidR="0012521E" w:rsidRPr="005709A2" w:rsidRDefault="0012521E" w:rsidP="0012521E">
      <w:pPr>
        <w:pStyle w:val="ListParagraph"/>
        <w:spacing w:after="0" w:line="360" w:lineRule="auto"/>
        <w:ind w:left="567" w:firstLine="567"/>
        <w:rPr>
          <w:rFonts w:cs="Segoe UI"/>
        </w:rPr>
      </w:pPr>
      <w:r w:rsidRPr="005709A2">
        <w:rPr>
          <w:rFonts w:cs="Segoe UI"/>
        </w:rPr>
        <w:t>Hasil analisis regresi linear sederhana menunjukkan bahwa Non-Performing Loan (NPL) memiliki pengaruh negatif terhadap Net Interest Margin (NIM) Bank Papua selama periode 2020–2024. Persamaan regresi yang diperoleh adalah NIM = 7,654 - 0,387 NPL, yang mengindikasikan bahwa setiap peningkatan NPL sebesar 1% akan diikuti oleh penurunan NIM sebesar 0,387%. Temuan ini sejalan dengan hipotesis ketiga (H3) yang menyatakan bahwa NPL berpengaruh negatif terhadap NIM. NIM merupakan rasio yang menunjukkan kemampuan bank dalam menghasilkan pendapatan bunga bersih dari aset produktif yang dimiliki. Ketika NPL meningkat, pendapatan bunga yang seharusnya diterima dari kredit yang disalurkan menjadi tidak optimal karena sebagian debitur gagal membayar kewajibannya, sehingga margin bunga bersih yang diperoleh bank mengalami penurunan.</w:t>
      </w:r>
    </w:p>
    <w:p w:rsidR="0012521E" w:rsidRPr="005709A2" w:rsidRDefault="0012521E" w:rsidP="0012521E">
      <w:pPr>
        <w:pStyle w:val="ListParagraph"/>
        <w:spacing w:after="0" w:line="360" w:lineRule="auto"/>
        <w:ind w:left="567" w:firstLine="567"/>
        <w:rPr>
          <w:rFonts w:cs="Segoe UI"/>
        </w:rPr>
      </w:pPr>
      <w:r w:rsidRPr="005709A2">
        <w:rPr>
          <w:rFonts w:cs="Segoe UI"/>
        </w:rPr>
        <w:t xml:space="preserve">Teori yang dikemukakan oleh Anbar dan Alper (2011) menunjukkan bahwa risiko kredit berpengaruh terhadap Net Interest Margin, di mana peningkatan risiko kredit cenderung menekan </w:t>
      </w:r>
      <w:r w:rsidRPr="005709A2">
        <w:rPr>
          <w:rFonts w:cs="Segoe UI"/>
        </w:rPr>
        <w:lastRenderedPageBreak/>
        <w:t>margin bunga bank. Hal ini terjadi karena bank harus menetapkan suku bunga kredit yang lebih tinggi untuk mengkompensasi risiko gagal bayar. Namun di sisi lain, peningkatan NPL justru mengurangi pendapatan bunga yang dapat direalisasikan. Ketidakseimbangan antara pendapatan bunga yang diharapkan dengan pendapatan bunga yang benar-benar diterima inilah yang menyebabkan NIM mengalami penurunan ketika NPL meningkat.</w:t>
      </w:r>
    </w:p>
    <w:p w:rsidR="0012521E" w:rsidRPr="005709A2" w:rsidRDefault="0012521E" w:rsidP="0012521E">
      <w:pPr>
        <w:pStyle w:val="ListParagraph"/>
        <w:spacing w:after="0" w:line="360" w:lineRule="auto"/>
        <w:ind w:left="567" w:firstLine="567"/>
        <w:rPr>
          <w:rFonts w:cs="Segoe UI"/>
        </w:rPr>
      </w:pPr>
      <w:r w:rsidRPr="005709A2">
        <w:rPr>
          <w:rFonts w:cs="Segoe UI"/>
        </w:rPr>
        <w:t>Penurunan NPL Bank Papua yang konsisten dari 4,17% pada tahun 2020 menjadi 2,36% pada tahun 2024 diikuti oleh peningkatan NIM yang konsisten dari 6,17% pada tahun 2020 menjadi 7,19% pada tahun 2024. Pola hubungan terbalik antara NPL dan NIM ini sangat jelas terlihat dari data penelitian, di mana setiap penurunan NPL selalu diikuti oleh peningkatan NIM. Hal ini menunjukkan bahwa perbaikan kualitas kredit berdampak positif terhadap kemampuan Bank Papua dalam menghasilkan pendapatan bunga bersih dari aset produktifnya. Semakin rendah kredit bermasalah, semakin besar pendapatan bunga yang dapat direalisasikan secara optimal.</w:t>
      </w:r>
    </w:p>
    <w:p w:rsidR="0012521E" w:rsidRPr="005709A2" w:rsidRDefault="0012521E" w:rsidP="0012521E">
      <w:pPr>
        <w:pStyle w:val="ListParagraph"/>
        <w:spacing w:after="0" w:line="360" w:lineRule="auto"/>
        <w:ind w:left="567" w:firstLine="567"/>
        <w:rPr>
          <w:rFonts w:cs="Segoe UI"/>
        </w:rPr>
      </w:pPr>
      <w:r w:rsidRPr="005709A2">
        <w:rPr>
          <w:rFonts w:cs="Segoe UI"/>
        </w:rPr>
        <w:t>Berdasarkan kerangka pemikiran yang telah dirumuskan, hubungan negatif antara NPL dan NIM terjadi melalui mekanisme penurunan pendapatan bunga dan terganggunya efisiensi penyaluran kredit. Ketika kredit diklasifikasikan sebagai bermasalah, bank tidak dapat mengakui pendapatan bunga dari kredit tersebut karena adanya ketidakpastian dalam penerimaan pembayaran. Pendapatan bunga yang seharusnya menjadi sumber utama pendapatan bank menjadi berkurang, sementara biaya dana yang harus dibayarkan kepada nasabah penyimpan dana tetap berjalan. Kondisi ini menyebabkan spread antara pendapatan bunga dan biaya bunga menyempit, yang pada akhirnya menurunkan NIM. Rivai, dkk. (2013) menegaskan bahwa risiko kredit tidak hanya berdampak pada penurunan pendapatan bunga, tetapi juga mengganggu efisiensi operasional bank secara keseluruhan.</w:t>
      </w:r>
    </w:p>
    <w:p w:rsidR="0012521E" w:rsidRPr="005709A2" w:rsidRDefault="0012521E" w:rsidP="0012521E">
      <w:pPr>
        <w:pStyle w:val="ListParagraph"/>
        <w:spacing w:after="0" w:line="360" w:lineRule="auto"/>
        <w:ind w:left="567" w:firstLine="567"/>
        <w:rPr>
          <w:rFonts w:cs="Segoe UI"/>
        </w:rPr>
      </w:pPr>
      <w:r w:rsidRPr="005709A2">
        <w:rPr>
          <w:rFonts w:cs="Segoe UI"/>
        </w:rPr>
        <w:t>Hasil penelitian ini menunjukkan bahwa kontribusi NPL dalam menjelaskan variasi NIM sebesar 49,1% (R² = 0,491), yang merupakan kontribusi tertinggi dibandingkan dengan model ROA (9,5%) dan ROE (0,4%). Hal ini mengindikasikan bahwa NIM lebih sensitif terhadap perubahan NPL dibandingkan dengan ROA dan ROE. Tingginya kontribusi NPL terhadap NIM dapat dipahami karena NIM secara langsung terkait dengan pendapatan bunga dari kredit, yang merupakan komponen utama yang terdampak ketika terjadi kredit bermasalah. Semakin tinggi NPL, semakin besar potensi pendapatan bunga yang hilang, sehingga NIM mengalami penurunan yang cukup signifikan.</w:t>
      </w:r>
    </w:p>
    <w:p w:rsidR="0012521E" w:rsidRPr="005709A2" w:rsidRDefault="0012521E" w:rsidP="0012521E">
      <w:pPr>
        <w:pStyle w:val="ListParagraph"/>
        <w:spacing w:after="0" w:line="360" w:lineRule="auto"/>
        <w:ind w:left="567" w:firstLine="567"/>
        <w:rPr>
          <w:rFonts w:cs="Segoe UI"/>
        </w:rPr>
      </w:pPr>
      <w:r w:rsidRPr="005709A2">
        <w:rPr>
          <w:rFonts w:cs="Segoe UI"/>
        </w:rPr>
        <w:lastRenderedPageBreak/>
        <w:t>Hasil pengujian hipotesis menunjukkan bahwa nilai signifikansi uji t sebesar 0,187 (&gt; 0,05), yang berarti NPL tidak berpengaruh signifikan terhadap NIM secara statistik pada tingkat kepercayaan 95%. Namun demikian, nilai t hitung sebesar -1,701 mendekati nilai t tabel 3,182, yang mengindikasikan bahwa pengaruh NPL terhadap NIM cukup mendekati ambang signifikansi. Nilai R sebesar 0,701 menunjukkan hubungan yang kuat antara NPL dan NIM, yang merupakan hubungan terkuat di antara ketiga model regresi dalam penelitian ini. Hal ini menunjukkan bahwa meskipun secara statistik tidak signifikan, secara substantif NPL memiliki pengaruh yang cukup kuat terhadap NIM Bank Papua.</w:t>
      </w:r>
    </w:p>
    <w:p w:rsidR="0012521E" w:rsidRPr="005709A2" w:rsidRDefault="0012521E" w:rsidP="0012521E">
      <w:pPr>
        <w:pStyle w:val="ListParagraph"/>
        <w:spacing w:after="0" w:line="360" w:lineRule="auto"/>
        <w:ind w:left="567" w:firstLine="567"/>
        <w:rPr>
          <w:rFonts w:cs="Segoe UI"/>
        </w:rPr>
      </w:pPr>
      <w:r w:rsidRPr="005709A2">
        <w:rPr>
          <w:rFonts w:cs="Segoe UI"/>
        </w:rPr>
        <w:t>Temuan ini sejalan dengan penelitian Anbar dan Alper (2011) yang menunjukkan bahwa risiko kredit berpengaruh terhadap Net Interest Margin. Penelitian Louzis, dkk. (2012) juga menemukan bahwa peningkatan NPL secara signifikan menurunkan profitabilitas bank yang diukur dengan berbagai indikator, termasuk margin bunga bersih. Konsistensi temuan ini dengan penelitian terdahulu memperkuat argumentasi bahwa pengelolaan risiko kredit merupakan faktor kunci dalam menjaga margin bunga bersih bank. Bank yang mampu menjaga kualitas kreditnya dengan baik akan memiliki NIM yang lebih tinggi dan lebih stabil.</w:t>
      </w:r>
    </w:p>
    <w:p w:rsidR="0012521E" w:rsidRPr="005709A2" w:rsidRDefault="0012521E" w:rsidP="0012521E">
      <w:pPr>
        <w:pStyle w:val="ListParagraph"/>
        <w:spacing w:after="0" w:line="360" w:lineRule="auto"/>
        <w:ind w:left="567" w:firstLine="567"/>
        <w:rPr>
          <w:rFonts w:cs="Segoe UI"/>
        </w:rPr>
      </w:pPr>
      <w:r w:rsidRPr="005709A2">
        <w:rPr>
          <w:rFonts w:cs="Segoe UI"/>
        </w:rPr>
        <w:t>Rata-rata NIM Bank Papua selama periode penelitian adalah 6,4660%, yang menunjukkan bahwa Bank Papua memiliki kemampuan yang sangat baik dalam menghasilkan pendapatan bunga bersih dari aset produktifnya. Angka ini jauh di atas rata-rata industri perbankan nasional yang umumnya berada di kisaran 4-5%. Tingginya NIM Bank Papua dapat disebabkan oleh struktur pendanaan yang didominasi oleh dana murah (CASA) serta strategi penetapan suku bunga kredit yang kompetitif. Kemampuan Bank Papua dalam mempertahankan NIM pada level yang tinggi meskipun menghadapi fluktuasi NPL menunjukkan bahwa manajemen Bank Papua memiliki strategi yang efektif dalam mengelola spread pendapatan bunga.</w:t>
      </w:r>
    </w:p>
    <w:p w:rsidR="0012521E" w:rsidRPr="005709A2" w:rsidRDefault="0012521E" w:rsidP="0012521E">
      <w:pPr>
        <w:pStyle w:val="ListParagraph"/>
        <w:spacing w:after="0" w:line="360" w:lineRule="auto"/>
        <w:ind w:left="567" w:firstLine="567"/>
        <w:rPr>
          <w:rFonts w:cs="Segoe UI"/>
        </w:rPr>
      </w:pPr>
      <w:r w:rsidRPr="005709A2">
        <w:rPr>
          <w:rFonts w:cs="Segoe UI"/>
        </w:rPr>
        <w:t>Implikasi dari temuan ini bagi manajemen Bank Papua adalah pentingnya menjaga kualitas kredit sebagai upaya untuk mempertahankan dan meningkatkan NIM. Karena NIM merupakan kontributor utama pendapatan bank, setiap penurunan NIM akibat peningkatan NPL akan berdampak langsung terhadap laba bersih dan profitabilitas bank secara keseluruhan. Strategi pengelolaan risiko kredit yang efektif, termasuk penerapan prinsip kehati-hatian dalam penyaluran kredit dan pemantauan berkala terhadap debitur, perlu terus ditingkatkan untuk memastikan bahwa pendapatan bunga dapat direalisasikan secara optimal.</w:t>
      </w:r>
    </w:p>
    <w:p w:rsidR="0012521E" w:rsidRPr="005709A2" w:rsidRDefault="0012521E" w:rsidP="0012521E">
      <w:pPr>
        <w:ind w:left="567" w:right="322" w:firstLine="567"/>
        <w:rPr>
          <w:rFonts w:cs="Segoe UI"/>
        </w:rPr>
      </w:pPr>
      <w:r w:rsidRPr="005709A2">
        <w:rPr>
          <w:rFonts w:cs="Segoe UI"/>
        </w:rPr>
        <w:lastRenderedPageBreak/>
        <w:t>Secara keseluruhan, meskipun secara statistik pengaruh NPL terhadap NIM tidak signifikan pada tingkat kepercayaan 95%, hubungan negatif yang kuat dan konsisten dengan teori serta penelitian terdahulu memberikan keyakinan bahwa peningkatan kualitas kredit akan berdampak positif terhadap margin bunga bersih Bank Papua. Penelitian ini juga mengidentifikasi bahwa NIM merupakan variabel dependen yang paling sensitif terhadap perubahan NPL dibandingkan dengan ROA dan ROE, sehingga pengelolaan NPL menjadi sangat krusial dalam menjaga kinerja NIM Bank Papua.</w:t>
      </w:r>
    </w:p>
    <w:p w:rsidR="001E0508" w:rsidRPr="005709A2" w:rsidRDefault="001E0508" w:rsidP="00985560">
      <w:pPr>
        <w:pStyle w:val="IEEEParagraph"/>
        <w:ind w:firstLine="0"/>
        <w:rPr>
          <w:rFonts w:ascii="Segoe UI" w:hAnsi="Segoe UI" w:cs="Segoe UI"/>
          <w:sz w:val="24"/>
          <w:lang w:val="id-ID"/>
        </w:rPr>
      </w:pPr>
    </w:p>
    <w:p w:rsidR="001E0508" w:rsidRPr="005709A2" w:rsidRDefault="00985560" w:rsidP="00985560">
      <w:pPr>
        <w:pStyle w:val="Heading3"/>
        <w:ind w:left="993" w:hanging="426"/>
        <w:rPr>
          <w:rFonts w:cs="Segoe UI"/>
          <w:lang w:val="id-ID"/>
        </w:rPr>
      </w:pPr>
      <w:r w:rsidRPr="005709A2">
        <w:rPr>
          <w:rFonts w:cs="Segoe UI"/>
          <w:lang w:val="id-ID"/>
        </w:rPr>
        <w:t>KESIMPULAN</w:t>
      </w:r>
    </w:p>
    <w:p w:rsidR="000F1318" w:rsidRPr="005709A2" w:rsidRDefault="000F1318" w:rsidP="000F1318">
      <w:pPr>
        <w:pStyle w:val="IEEEParagraph"/>
        <w:ind w:left="567" w:right="322" w:firstLine="567"/>
        <w:rPr>
          <w:rStyle w:val="longtext"/>
          <w:rFonts w:ascii="Segoe UI" w:hAnsi="Segoe UI" w:cs="Segoe UI"/>
          <w:sz w:val="22"/>
          <w:szCs w:val="22"/>
          <w:shd w:val="clear" w:color="auto" w:fill="FFFFFF"/>
          <w:lang w:val="id-ID"/>
        </w:rPr>
      </w:pPr>
      <w:r w:rsidRPr="005709A2">
        <w:rPr>
          <w:rStyle w:val="longtext"/>
          <w:rFonts w:ascii="Segoe UI" w:hAnsi="Segoe UI" w:cs="Segoe UI"/>
          <w:sz w:val="22"/>
          <w:szCs w:val="22"/>
          <w:shd w:val="clear" w:color="auto" w:fill="FFFFFF"/>
          <w:lang w:val="id-ID"/>
        </w:rPr>
        <w:t xml:space="preserve">Berdasarkan hasil penelitian, </w:t>
      </w:r>
      <w:r w:rsidRPr="005709A2">
        <w:rPr>
          <w:rStyle w:val="longtext"/>
          <w:rFonts w:ascii="Segoe UI" w:hAnsi="Segoe UI" w:cs="Segoe UI"/>
          <w:i/>
          <w:iCs/>
          <w:sz w:val="22"/>
          <w:szCs w:val="22"/>
          <w:shd w:val="clear" w:color="auto" w:fill="FFFFFF"/>
          <w:lang w:val="id-ID"/>
        </w:rPr>
        <w:t>Non-Performing Loan</w:t>
      </w:r>
      <w:r w:rsidRPr="005709A2">
        <w:rPr>
          <w:rStyle w:val="longtext"/>
          <w:rFonts w:ascii="Segoe UI" w:hAnsi="Segoe UI" w:cs="Segoe UI"/>
          <w:sz w:val="22"/>
          <w:szCs w:val="22"/>
          <w:shd w:val="clear" w:color="auto" w:fill="FFFFFF"/>
          <w:lang w:val="id-ID"/>
        </w:rPr>
        <w:t xml:space="preserve"> (NPL) berpengaruh negatif terhadap ROA, ROE, dan NIM PT Bank Pembangunan Daerah Papua periode 2020–2024, tetapi seluruh pengaruh tersebut tidak signifikan secara statistik. Kontribusi NPL terbesar terdapat pada NIM sebesar 49,1%, diikuti ROA sebesar 9,5% dan ROE sebesar 0,4%. Dengan demikian, perubahan NPL belum terbukti secara signifikan memengaruhi kinerja keuangan Bank Papua selama periode penelitian.</w:t>
      </w:r>
    </w:p>
    <w:p w:rsidR="000F1318" w:rsidRPr="005709A2" w:rsidRDefault="000F1318" w:rsidP="000F1318">
      <w:pPr>
        <w:pStyle w:val="IEEEParagraph"/>
        <w:ind w:left="567" w:right="322" w:firstLine="567"/>
        <w:rPr>
          <w:rStyle w:val="longtext"/>
          <w:rFonts w:ascii="Segoe UI" w:hAnsi="Segoe UI" w:cs="Segoe UI"/>
          <w:sz w:val="22"/>
          <w:szCs w:val="22"/>
          <w:shd w:val="clear" w:color="auto" w:fill="FFFFFF"/>
          <w:lang w:val="id-ID"/>
        </w:rPr>
      </w:pPr>
      <w:r w:rsidRPr="005709A2">
        <w:rPr>
          <w:rStyle w:val="longtext"/>
          <w:rFonts w:ascii="Segoe UI" w:hAnsi="Segoe UI" w:cs="Segoe UI"/>
          <w:sz w:val="22"/>
          <w:szCs w:val="22"/>
          <w:shd w:val="clear" w:color="auto" w:fill="FFFFFF"/>
          <w:lang w:val="id-ID"/>
        </w:rPr>
        <w:t xml:space="preserve">Bank Papua disarankan terus meningkatkan pengelolaan dan kualitas kredit melalui penguatan analisis kredit, pemantauan debitur, dan </w:t>
      </w:r>
      <w:r w:rsidRPr="005709A2">
        <w:rPr>
          <w:rStyle w:val="longtext"/>
          <w:rFonts w:ascii="Segoe UI" w:hAnsi="Segoe UI" w:cs="Segoe UI"/>
          <w:i/>
          <w:iCs/>
          <w:sz w:val="22"/>
          <w:szCs w:val="22"/>
          <w:shd w:val="clear" w:color="auto" w:fill="FFFFFF"/>
          <w:lang w:val="id-ID"/>
        </w:rPr>
        <w:t>early warning system</w:t>
      </w:r>
      <w:r w:rsidRPr="005709A2">
        <w:rPr>
          <w:rStyle w:val="longtext"/>
          <w:rFonts w:ascii="Segoe UI" w:hAnsi="Segoe UI" w:cs="Segoe UI"/>
          <w:sz w:val="22"/>
          <w:szCs w:val="22"/>
          <w:shd w:val="clear" w:color="auto" w:fill="FFFFFF"/>
          <w:lang w:val="id-ID"/>
        </w:rPr>
        <w:t xml:space="preserve"> untuk menjaga NPL tetap rendah serta meningkatkan efisiensi operasional. Peneliti selanjutnya disarankan memperluas periode penelitian dan menambahkan variabel lain seperti CAR, LDR, dan BOPO agar dapat memberikan gambaran yang lebih komprehensif mengenai faktor-faktor yang memengaruhi kinerja keuangan perbankan.</w:t>
      </w:r>
    </w:p>
    <w:p w:rsidR="000F1318" w:rsidRPr="005709A2" w:rsidRDefault="000F1318" w:rsidP="000F1318">
      <w:pPr>
        <w:pStyle w:val="IEEEParagraph"/>
        <w:ind w:left="567" w:right="322" w:firstLine="567"/>
        <w:rPr>
          <w:rStyle w:val="longtext"/>
          <w:rFonts w:ascii="Segoe UI" w:hAnsi="Segoe UI" w:cs="Segoe UI"/>
          <w:sz w:val="22"/>
          <w:szCs w:val="22"/>
          <w:shd w:val="clear" w:color="auto" w:fill="FFFFFF"/>
          <w:lang w:val="id-ID"/>
        </w:rPr>
      </w:pPr>
    </w:p>
    <w:p w:rsidR="00C45C5B" w:rsidRPr="00C45C5B" w:rsidRDefault="00C45C5B" w:rsidP="003A4408">
      <w:pPr>
        <w:pStyle w:val="IEEEParagraph"/>
        <w:ind w:left="567" w:right="322" w:firstLine="567"/>
        <w:rPr>
          <w:rStyle w:val="longtext"/>
          <w:rFonts w:ascii="Segoe UI" w:hAnsi="Segoe UI" w:cs="Segoe UI"/>
          <w:sz w:val="22"/>
          <w:szCs w:val="22"/>
          <w:shd w:val="clear" w:color="auto" w:fill="FFFFFF"/>
          <w:lang w:val="en-US"/>
        </w:rPr>
      </w:pPr>
    </w:p>
    <w:p w:rsidR="001E0508" w:rsidRPr="005709A2" w:rsidRDefault="001E0508" w:rsidP="001E0508">
      <w:pPr>
        <w:pStyle w:val="IEEEHeading1"/>
        <w:numPr>
          <w:ilvl w:val="0"/>
          <w:numId w:val="0"/>
        </w:numPr>
        <w:ind w:firstLine="567"/>
        <w:jc w:val="both"/>
        <w:rPr>
          <w:rFonts w:ascii="Segoe UI" w:hAnsi="Segoe UI" w:cs="Segoe UI"/>
          <w:b/>
          <w:bCs/>
          <w:sz w:val="24"/>
          <w:lang w:val="id-ID"/>
        </w:rPr>
      </w:pPr>
      <w:r w:rsidRPr="005709A2">
        <w:rPr>
          <w:rFonts w:ascii="Segoe UI" w:hAnsi="Segoe UI" w:cs="Segoe UI"/>
          <w:b/>
          <w:bCs/>
          <w:sz w:val="24"/>
          <w:lang w:val="id-ID"/>
        </w:rPr>
        <w:t>Referensi</w:t>
      </w:r>
    </w:p>
    <w:p w:rsidR="000F1318" w:rsidRPr="005709A2" w:rsidRDefault="000F1318" w:rsidP="000F1318">
      <w:pPr>
        <w:spacing w:after="0" w:line="360" w:lineRule="auto"/>
        <w:ind w:left="851" w:hanging="284"/>
        <w:rPr>
          <w:rFonts w:eastAsia="Times New Roman" w:cs="Segoe UI"/>
          <w:sz w:val="24"/>
          <w:szCs w:val="24"/>
        </w:rPr>
      </w:pPr>
      <w:r w:rsidRPr="005709A2">
        <w:rPr>
          <w:rFonts w:eastAsia="Times New Roman" w:cs="Segoe UI"/>
          <w:sz w:val="24"/>
          <w:szCs w:val="24"/>
        </w:rPr>
        <w:t xml:space="preserve">Anbar, A., &amp; Alper, D. (2011). Bank specific and macroeconomic determinants of commercial bank profitability. </w:t>
      </w:r>
      <w:r w:rsidRPr="005709A2">
        <w:rPr>
          <w:rFonts w:eastAsia="Times New Roman" w:cs="Segoe UI"/>
          <w:i/>
          <w:iCs/>
          <w:sz w:val="24"/>
          <w:szCs w:val="24"/>
        </w:rPr>
        <w:t>Journal of Business Economics and Management</w:t>
      </w:r>
      <w:r w:rsidRPr="005709A2">
        <w:rPr>
          <w:rFonts w:eastAsia="Times New Roman" w:cs="Segoe UI"/>
          <w:sz w:val="24"/>
          <w:szCs w:val="24"/>
        </w:rPr>
        <w:t xml:space="preserve">. </w:t>
      </w:r>
    </w:p>
    <w:p w:rsidR="000F1318" w:rsidRPr="005709A2" w:rsidRDefault="000F1318" w:rsidP="000F1318">
      <w:pPr>
        <w:spacing w:after="0" w:line="360" w:lineRule="auto"/>
        <w:ind w:left="567"/>
        <w:rPr>
          <w:rFonts w:eastAsia="Times New Roman" w:cs="Segoe UI"/>
          <w:sz w:val="24"/>
          <w:szCs w:val="24"/>
        </w:rPr>
      </w:pPr>
      <w:r w:rsidRPr="005709A2">
        <w:rPr>
          <w:rFonts w:eastAsia="Times New Roman" w:cs="Segoe UI"/>
          <w:sz w:val="24"/>
          <w:szCs w:val="24"/>
        </w:rPr>
        <w:t xml:space="preserve">Bank Indonesia. (2022). </w:t>
      </w:r>
      <w:r w:rsidRPr="005709A2">
        <w:rPr>
          <w:rFonts w:eastAsia="Times New Roman" w:cs="Segoe UI"/>
          <w:i/>
          <w:iCs/>
          <w:sz w:val="24"/>
          <w:szCs w:val="24"/>
        </w:rPr>
        <w:t>Peraturan Manajemen Risiko Perbankan</w:t>
      </w:r>
    </w:p>
    <w:p w:rsidR="000F1318" w:rsidRPr="005709A2" w:rsidRDefault="000F1318" w:rsidP="000F1318">
      <w:pPr>
        <w:spacing w:after="0" w:line="360" w:lineRule="auto"/>
        <w:ind w:left="851" w:hanging="284"/>
        <w:rPr>
          <w:rFonts w:eastAsia="Times New Roman" w:cs="Segoe UI"/>
          <w:sz w:val="24"/>
          <w:szCs w:val="24"/>
        </w:rPr>
      </w:pPr>
      <w:r w:rsidRPr="005709A2">
        <w:rPr>
          <w:rFonts w:eastAsia="Times New Roman" w:cs="Segoe UI"/>
          <w:sz w:val="24"/>
          <w:szCs w:val="24"/>
        </w:rPr>
        <w:t xml:space="preserve">Berger, A. N., &amp; DeYoung, R. (1997). Problem loans and cost efficiency in commercial banks. </w:t>
      </w:r>
      <w:r w:rsidRPr="005709A2">
        <w:rPr>
          <w:rFonts w:eastAsia="Times New Roman" w:cs="Segoe UI"/>
          <w:i/>
          <w:iCs/>
          <w:sz w:val="24"/>
          <w:szCs w:val="24"/>
        </w:rPr>
        <w:t>Journal of Banking &amp; Finance</w:t>
      </w:r>
      <w:r w:rsidRPr="005709A2">
        <w:rPr>
          <w:rFonts w:eastAsia="Times New Roman" w:cs="Segoe UI"/>
          <w:sz w:val="24"/>
          <w:szCs w:val="24"/>
        </w:rPr>
        <w:t xml:space="preserve">. </w:t>
      </w:r>
    </w:p>
    <w:p w:rsidR="000F1318" w:rsidRPr="005709A2" w:rsidRDefault="000F1318" w:rsidP="000F1318">
      <w:pPr>
        <w:spacing w:after="0" w:line="360" w:lineRule="auto"/>
        <w:ind w:left="567"/>
        <w:rPr>
          <w:rFonts w:eastAsia="Times New Roman" w:cs="Segoe UI"/>
          <w:sz w:val="24"/>
          <w:szCs w:val="24"/>
        </w:rPr>
      </w:pPr>
      <w:r w:rsidRPr="005709A2">
        <w:rPr>
          <w:rFonts w:eastAsia="Times New Roman" w:cs="Segoe UI"/>
          <w:sz w:val="24"/>
          <w:szCs w:val="24"/>
        </w:rPr>
        <w:t xml:space="preserve">Dendawijaya, L. (2009). </w:t>
      </w:r>
      <w:r w:rsidRPr="005709A2">
        <w:rPr>
          <w:rFonts w:eastAsia="Times New Roman" w:cs="Segoe UI"/>
          <w:i/>
          <w:iCs/>
          <w:sz w:val="24"/>
          <w:szCs w:val="24"/>
        </w:rPr>
        <w:t>Manajemen Perbankan</w:t>
      </w:r>
      <w:r w:rsidRPr="005709A2">
        <w:rPr>
          <w:rFonts w:eastAsia="Times New Roman" w:cs="Segoe UI"/>
          <w:sz w:val="24"/>
          <w:szCs w:val="24"/>
        </w:rPr>
        <w:t xml:space="preserve">. Jakarta: Ghalia Indonesia. </w:t>
      </w:r>
    </w:p>
    <w:p w:rsidR="000F1318" w:rsidRPr="005709A2" w:rsidRDefault="000F1318" w:rsidP="000F1318">
      <w:pPr>
        <w:spacing w:after="0" w:line="360" w:lineRule="auto"/>
        <w:ind w:left="567"/>
        <w:rPr>
          <w:rFonts w:eastAsia="Times New Roman" w:cs="Segoe UI"/>
          <w:sz w:val="24"/>
          <w:szCs w:val="24"/>
        </w:rPr>
      </w:pPr>
      <w:r w:rsidRPr="005709A2">
        <w:rPr>
          <w:rFonts w:eastAsia="Times New Roman" w:cs="Segoe UI"/>
          <w:sz w:val="24"/>
          <w:szCs w:val="24"/>
        </w:rPr>
        <w:t xml:space="preserve">Fahmi, Irham. (2020). </w:t>
      </w:r>
      <w:r w:rsidRPr="005709A2">
        <w:rPr>
          <w:rFonts w:eastAsia="Times New Roman" w:cs="Segoe UI"/>
          <w:i/>
          <w:iCs/>
          <w:sz w:val="24"/>
          <w:szCs w:val="24"/>
        </w:rPr>
        <w:t>Analisis Kinerja Keuangan</w:t>
      </w:r>
      <w:r w:rsidRPr="005709A2">
        <w:rPr>
          <w:rFonts w:eastAsia="Times New Roman" w:cs="Segoe UI"/>
          <w:sz w:val="24"/>
          <w:szCs w:val="24"/>
        </w:rPr>
        <w:t xml:space="preserve">. Bandung: Alfabeta. </w:t>
      </w:r>
    </w:p>
    <w:p w:rsidR="000F1318" w:rsidRPr="005709A2" w:rsidRDefault="000F1318" w:rsidP="000F1318">
      <w:pPr>
        <w:spacing w:after="0" w:line="360" w:lineRule="auto"/>
        <w:ind w:left="851" w:hanging="284"/>
        <w:rPr>
          <w:rFonts w:eastAsia="Times New Roman" w:cs="Segoe UI"/>
          <w:sz w:val="24"/>
          <w:szCs w:val="24"/>
        </w:rPr>
      </w:pPr>
      <w:r w:rsidRPr="005709A2">
        <w:rPr>
          <w:rFonts w:eastAsia="Times New Roman" w:cs="Segoe UI"/>
          <w:sz w:val="24"/>
          <w:szCs w:val="24"/>
        </w:rPr>
        <w:t xml:space="preserve">Ikatan Bankir Indonesia. (2020). </w:t>
      </w:r>
      <w:r w:rsidRPr="005709A2">
        <w:rPr>
          <w:rFonts w:eastAsia="Times New Roman" w:cs="Segoe UI"/>
          <w:i/>
          <w:iCs/>
          <w:sz w:val="24"/>
          <w:szCs w:val="24"/>
        </w:rPr>
        <w:t>Manajemen Risiko Perbankan</w:t>
      </w:r>
      <w:r w:rsidRPr="005709A2">
        <w:rPr>
          <w:rFonts w:eastAsia="Times New Roman" w:cs="Segoe UI"/>
          <w:sz w:val="24"/>
          <w:szCs w:val="24"/>
        </w:rPr>
        <w:t xml:space="preserve">. Jakarta: Gramedia Pustaka Utama. </w:t>
      </w:r>
    </w:p>
    <w:p w:rsidR="000F1318" w:rsidRPr="005709A2" w:rsidRDefault="000F1318" w:rsidP="000F1318">
      <w:pPr>
        <w:spacing w:after="0" w:line="360" w:lineRule="auto"/>
        <w:ind w:left="851" w:hanging="284"/>
        <w:rPr>
          <w:rFonts w:eastAsia="Times New Roman" w:cs="Segoe UI"/>
          <w:sz w:val="24"/>
          <w:szCs w:val="24"/>
        </w:rPr>
      </w:pPr>
      <w:r w:rsidRPr="005709A2">
        <w:rPr>
          <w:rFonts w:eastAsia="Times New Roman" w:cs="Segoe UI"/>
          <w:sz w:val="24"/>
          <w:szCs w:val="24"/>
        </w:rPr>
        <w:t xml:space="preserve">Imam Ghozali. 2018. </w:t>
      </w:r>
      <w:r w:rsidRPr="005709A2">
        <w:rPr>
          <w:rFonts w:eastAsia="Times New Roman" w:cs="Segoe UI"/>
          <w:i/>
          <w:iCs/>
          <w:sz w:val="24"/>
          <w:szCs w:val="24"/>
        </w:rPr>
        <w:t>Aplikasi Analisis Multivariate dengan Program IBM SPSS</w:t>
      </w:r>
      <w:r w:rsidRPr="005709A2">
        <w:rPr>
          <w:rFonts w:eastAsia="Times New Roman" w:cs="Segoe UI"/>
          <w:sz w:val="24"/>
          <w:szCs w:val="24"/>
        </w:rPr>
        <w:t>. Semarang: Badan Penerbit Universitas Diponegoro.</w:t>
      </w:r>
    </w:p>
    <w:p w:rsidR="000F1318" w:rsidRPr="005709A2" w:rsidRDefault="000F1318" w:rsidP="000F1318">
      <w:pPr>
        <w:spacing w:after="0" w:line="360" w:lineRule="auto"/>
        <w:ind w:left="567"/>
        <w:rPr>
          <w:rFonts w:eastAsia="Times New Roman" w:cs="Segoe UI"/>
          <w:sz w:val="24"/>
          <w:szCs w:val="24"/>
        </w:rPr>
      </w:pPr>
      <w:r w:rsidRPr="005709A2">
        <w:rPr>
          <w:rFonts w:eastAsia="Times New Roman" w:cs="Segoe UI"/>
          <w:sz w:val="24"/>
          <w:szCs w:val="24"/>
        </w:rPr>
        <w:lastRenderedPageBreak/>
        <w:t xml:space="preserve">Ismail. (2018). </w:t>
      </w:r>
      <w:r w:rsidRPr="005709A2">
        <w:rPr>
          <w:rFonts w:eastAsia="Times New Roman" w:cs="Segoe UI"/>
          <w:i/>
          <w:iCs/>
          <w:sz w:val="24"/>
          <w:szCs w:val="24"/>
        </w:rPr>
        <w:t>Manajemen Perbankan</w:t>
      </w:r>
      <w:r w:rsidRPr="005709A2">
        <w:rPr>
          <w:rFonts w:eastAsia="Times New Roman" w:cs="Segoe UI"/>
          <w:sz w:val="24"/>
          <w:szCs w:val="24"/>
        </w:rPr>
        <w:t xml:space="preserve">. Jakarta: Prenadamedia Group. </w:t>
      </w:r>
    </w:p>
    <w:p w:rsidR="000F1318" w:rsidRPr="005709A2" w:rsidRDefault="000F1318" w:rsidP="000F1318">
      <w:pPr>
        <w:spacing w:after="0" w:line="360" w:lineRule="auto"/>
        <w:ind w:left="567"/>
        <w:rPr>
          <w:rFonts w:eastAsia="Times New Roman" w:cs="Segoe UI"/>
          <w:sz w:val="24"/>
          <w:szCs w:val="24"/>
        </w:rPr>
      </w:pPr>
      <w:r w:rsidRPr="005709A2">
        <w:rPr>
          <w:rFonts w:eastAsia="Times New Roman" w:cs="Segoe UI"/>
          <w:sz w:val="24"/>
          <w:szCs w:val="24"/>
        </w:rPr>
        <w:t xml:space="preserve">Kasmir. (2019). </w:t>
      </w:r>
      <w:r w:rsidRPr="005709A2">
        <w:rPr>
          <w:rFonts w:eastAsia="Times New Roman" w:cs="Segoe UI"/>
          <w:i/>
          <w:iCs/>
          <w:sz w:val="24"/>
          <w:szCs w:val="24"/>
        </w:rPr>
        <w:t>Analisis Laporan Keuangan</w:t>
      </w:r>
      <w:r w:rsidRPr="005709A2">
        <w:rPr>
          <w:rFonts w:eastAsia="Times New Roman" w:cs="Segoe UI"/>
          <w:sz w:val="24"/>
          <w:szCs w:val="24"/>
        </w:rPr>
        <w:t xml:space="preserve">. Jakarta: Rajawali Pers. </w:t>
      </w:r>
    </w:p>
    <w:p w:rsidR="000F1318" w:rsidRPr="005709A2" w:rsidRDefault="000F1318" w:rsidP="000F1318">
      <w:pPr>
        <w:spacing w:after="0" w:line="360" w:lineRule="auto"/>
        <w:ind w:left="567"/>
        <w:rPr>
          <w:rFonts w:eastAsia="Times New Roman" w:cs="Segoe UI"/>
          <w:sz w:val="24"/>
          <w:szCs w:val="24"/>
        </w:rPr>
      </w:pPr>
      <w:r w:rsidRPr="005709A2">
        <w:rPr>
          <w:rFonts w:eastAsia="Times New Roman" w:cs="Segoe UI"/>
          <w:sz w:val="24"/>
          <w:szCs w:val="24"/>
        </w:rPr>
        <w:t xml:space="preserve">Klein, N. (2013). Non-performing loans in CESEE. </w:t>
      </w:r>
      <w:r w:rsidRPr="005709A2">
        <w:rPr>
          <w:rFonts w:eastAsia="Times New Roman" w:cs="Segoe UI"/>
          <w:i/>
          <w:iCs/>
          <w:sz w:val="24"/>
          <w:szCs w:val="24"/>
        </w:rPr>
        <w:t>IMF Working Paper</w:t>
      </w:r>
      <w:r w:rsidRPr="005709A2">
        <w:rPr>
          <w:rFonts w:eastAsia="Times New Roman" w:cs="Segoe UI"/>
          <w:sz w:val="24"/>
          <w:szCs w:val="24"/>
        </w:rPr>
        <w:t xml:space="preserve">. </w:t>
      </w:r>
    </w:p>
    <w:p w:rsidR="000F1318" w:rsidRPr="005709A2" w:rsidRDefault="000F1318" w:rsidP="000F1318">
      <w:pPr>
        <w:spacing w:after="0" w:line="360" w:lineRule="auto"/>
        <w:ind w:left="567"/>
        <w:rPr>
          <w:rFonts w:eastAsia="Times New Roman" w:cs="Segoe UI"/>
          <w:sz w:val="24"/>
          <w:szCs w:val="24"/>
        </w:rPr>
      </w:pPr>
      <w:r w:rsidRPr="005709A2">
        <w:rPr>
          <w:rFonts w:eastAsia="Times New Roman" w:cs="Segoe UI"/>
          <w:sz w:val="24"/>
          <w:szCs w:val="24"/>
        </w:rPr>
        <w:t xml:space="preserve">Laporan Keuangan Tahunan Bank Pembangunan Daerah Papua (berbagai tahun) </w:t>
      </w:r>
    </w:p>
    <w:p w:rsidR="000F1318" w:rsidRPr="005709A2" w:rsidRDefault="000F1318" w:rsidP="000F1318">
      <w:pPr>
        <w:spacing w:after="0" w:line="360" w:lineRule="auto"/>
        <w:ind w:left="851" w:hanging="284"/>
        <w:rPr>
          <w:rFonts w:eastAsia="Times New Roman" w:cs="Segoe UI"/>
          <w:sz w:val="24"/>
          <w:szCs w:val="24"/>
        </w:rPr>
      </w:pPr>
      <w:r w:rsidRPr="005709A2">
        <w:rPr>
          <w:rFonts w:eastAsia="Times New Roman" w:cs="Segoe UI"/>
          <w:sz w:val="24"/>
          <w:szCs w:val="24"/>
        </w:rPr>
        <w:t xml:space="preserve">Louzis, A. P., Vouldis, V. T., &amp; Metaxas, V. L. (2012). Macroeconomic and bank-specific determinants of non-performing loans. </w:t>
      </w:r>
      <w:r w:rsidRPr="005709A2">
        <w:rPr>
          <w:rFonts w:eastAsia="Times New Roman" w:cs="Segoe UI"/>
          <w:i/>
          <w:iCs/>
          <w:sz w:val="24"/>
          <w:szCs w:val="24"/>
        </w:rPr>
        <w:t>Journal of Banking &amp; Finance</w:t>
      </w:r>
      <w:r w:rsidRPr="005709A2">
        <w:rPr>
          <w:rFonts w:eastAsia="Times New Roman" w:cs="Segoe UI"/>
          <w:sz w:val="24"/>
          <w:szCs w:val="24"/>
        </w:rPr>
        <w:t xml:space="preserve">. </w:t>
      </w:r>
    </w:p>
    <w:p w:rsidR="000F1318" w:rsidRPr="005709A2" w:rsidRDefault="000F1318" w:rsidP="000F1318">
      <w:pPr>
        <w:spacing w:after="0" w:line="360" w:lineRule="auto"/>
        <w:ind w:left="851" w:hanging="284"/>
        <w:rPr>
          <w:rFonts w:eastAsia="Times New Roman" w:cs="Segoe UI"/>
          <w:sz w:val="24"/>
          <w:szCs w:val="24"/>
        </w:rPr>
      </w:pPr>
      <w:r w:rsidRPr="005709A2">
        <w:rPr>
          <w:rFonts w:eastAsia="Times New Roman" w:cs="Segoe UI"/>
          <w:sz w:val="24"/>
          <w:szCs w:val="24"/>
        </w:rPr>
        <w:t xml:space="preserve">Otoritas Jasa Keuangan (OJK). (2021). </w:t>
      </w:r>
      <w:r w:rsidRPr="005709A2">
        <w:rPr>
          <w:rFonts w:eastAsia="Times New Roman" w:cs="Segoe UI"/>
          <w:i/>
          <w:iCs/>
          <w:sz w:val="24"/>
          <w:szCs w:val="24"/>
        </w:rPr>
        <w:t>Perhitungan Ast Tertimbang Menurut Risiko (ATM) untuk risiko kredit.</w:t>
      </w:r>
    </w:p>
    <w:p w:rsidR="000F1318" w:rsidRPr="005709A2" w:rsidRDefault="000F1318" w:rsidP="000F1318">
      <w:pPr>
        <w:spacing w:after="0" w:line="360" w:lineRule="auto"/>
        <w:ind w:left="567"/>
        <w:rPr>
          <w:rFonts w:eastAsia="Times New Roman" w:cs="Segoe UI"/>
          <w:sz w:val="24"/>
          <w:szCs w:val="24"/>
        </w:rPr>
      </w:pPr>
      <w:r w:rsidRPr="005709A2">
        <w:rPr>
          <w:rFonts w:eastAsia="Times New Roman" w:cs="Segoe UI"/>
          <w:sz w:val="24"/>
          <w:szCs w:val="24"/>
        </w:rPr>
        <w:t xml:space="preserve">Otoritas Jasa Keuangan (OJK). (2023). </w:t>
      </w:r>
      <w:r w:rsidRPr="005709A2">
        <w:rPr>
          <w:rFonts w:eastAsia="Times New Roman" w:cs="Segoe UI"/>
          <w:i/>
          <w:iCs/>
          <w:sz w:val="24"/>
          <w:szCs w:val="24"/>
        </w:rPr>
        <w:t>Statistik Perbankan Indonesia</w:t>
      </w:r>
    </w:p>
    <w:p w:rsidR="000F1318" w:rsidRPr="005709A2" w:rsidRDefault="000F1318" w:rsidP="000F1318">
      <w:pPr>
        <w:spacing w:after="0" w:line="360" w:lineRule="auto"/>
        <w:ind w:left="851" w:hanging="284"/>
        <w:rPr>
          <w:rFonts w:eastAsia="Times New Roman" w:cs="Segoe UI"/>
          <w:sz w:val="24"/>
          <w:szCs w:val="24"/>
        </w:rPr>
      </w:pPr>
      <w:r w:rsidRPr="005709A2">
        <w:rPr>
          <w:rFonts w:eastAsia="Times New Roman" w:cs="Segoe UI"/>
          <w:sz w:val="24"/>
          <w:szCs w:val="24"/>
        </w:rPr>
        <w:t xml:space="preserve">Veithzal Rivai, Sofyan Basir, Sarwono Sudarto, &amp; Arifiandy Permata Veithzal. (2013). </w:t>
      </w:r>
      <w:r w:rsidRPr="005709A2">
        <w:rPr>
          <w:rFonts w:eastAsia="Times New Roman" w:cs="Segoe UI"/>
          <w:i/>
          <w:iCs/>
          <w:sz w:val="24"/>
          <w:szCs w:val="24"/>
        </w:rPr>
        <w:t>Commercial Bank Management: Manajemen Perbankan dari Teori ke Praktik</w:t>
      </w:r>
      <w:r w:rsidRPr="005709A2">
        <w:rPr>
          <w:rFonts w:eastAsia="Times New Roman" w:cs="Segoe UI"/>
          <w:sz w:val="24"/>
          <w:szCs w:val="24"/>
        </w:rPr>
        <w:t xml:space="preserve">. Jakarta: RajaGrafindo Persada. </w:t>
      </w:r>
    </w:p>
    <w:p w:rsidR="003A4408" w:rsidRPr="005709A2" w:rsidRDefault="003A4408" w:rsidP="003A4408">
      <w:pPr>
        <w:spacing w:line="240" w:lineRule="auto"/>
        <w:ind w:left="1418" w:right="645" w:hanging="851"/>
        <w:rPr>
          <w:rFonts w:cs="Segoe UI"/>
        </w:rPr>
      </w:pPr>
    </w:p>
    <w:sectPr w:rsidR="003A4408" w:rsidRPr="005709A2" w:rsidSect="001E0508">
      <w:type w:val="continuous"/>
      <w:pgSz w:w="11906" w:h="16838"/>
      <w:pgMar w:top="1077" w:right="811" w:bottom="2438" w:left="811" w:header="709" w:footer="709" w:gutter="0"/>
      <w:cols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6C0" w:rsidRDefault="00F266C0" w:rsidP="009B0AF6">
      <w:pPr>
        <w:spacing w:after="0" w:line="240" w:lineRule="auto"/>
      </w:pPr>
      <w:r>
        <w:separator/>
      </w:r>
    </w:p>
  </w:endnote>
  <w:endnote w:type="continuationSeparator" w:id="1">
    <w:p w:rsidR="00F266C0" w:rsidRDefault="00F266C0" w:rsidP="009B0A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768448"/>
      <w:docPartObj>
        <w:docPartGallery w:val="Page Numbers (Bottom of Page)"/>
        <w:docPartUnique/>
      </w:docPartObj>
    </w:sdtPr>
    <w:sdtEndPr>
      <w:rPr>
        <w:rFonts w:cs="Segoe UI"/>
        <w:noProof/>
        <w:sz w:val="20"/>
        <w:szCs w:val="20"/>
      </w:rPr>
    </w:sdtEndPr>
    <w:sdtContent>
      <w:p w:rsidR="001538AE" w:rsidRPr="00950641" w:rsidRDefault="00C459D6" w:rsidP="001538AE">
        <w:pPr>
          <w:pStyle w:val="Footer"/>
          <w:tabs>
            <w:tab w:val="clear" w:pos="4513"/>
            <w:tab w:val="center" w:pos="709"/>
          </w:tabs>
          <w:rPr>
            <w:rFonts w:cs="Segoe UI"/>
            <w:noProof/>
            <w:sz w:val="20"/>
            <w:szCs w:val="20"/>
            <w:lang w:val="fi-FI"/>
          </w:rPr>
        </w:pPr>
        <w:r w:rsidRPr="00C459D6">
          <w:rPr>
            <w:rFonts w:cs="Segoe UI"/>
            <w:noProof/>
            <w:sz w:val="20"/>
            <w:szCs w:val="20"/>
            <w:lang w:val="en-IN" w:eastAsia="en-IN"/>
          </w:rPr>
          <w:pict>
            <v:line id="Straight Connector 11" o:spid="_x0000_s1027" style="position:absolute;left:0;text-align:left;z-index:251654144;visibility:visible;mso-position-horizontal-relative:text;mso-position-vertical-relative:text;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w:r>
        <w:r w:rsidRPr="003243EB">
          <w:rPr>
            <w:rFonts w:cs="Segoe UI"/>
            <w:sz w:val="20"/>
            <w:szCs w:val="20"/>
          </w:rPr>
          <w:fldChar w:fldCharType="begin"/>
        </w:r>
        <w:r w:rsidR="00471F0C" w:rsidRPr="003243EB">
          <w:rPr>
            <w:rFonts w:cs="Segoe UI"/>
            <w:sz w:val="20"/>
            <w:szCs w:val="20"/>
          </w:rPr>
          <w:instrText xml:space="preserve"> PAGE   \* MERGEFORMAT </w:instrText>
        </w:r>
        <w:r w:rsidRPr="003243EB">
          <w:rPr>
            <w:rFonts w:cs="Segoe UI"/>
            <w:sz w:val="20"/>
            <w:szCs w:val="20"/>
          </w:rPr>
          <w:fldChar w:fldCharType="separate"/>
        </w:r>
        <w:r w:rsidR="00C45C5B">
          <w:rPr>
            <w:rFonts w:cs="Segoe UI"/>
            <w:noProof/>
            <w:sz w:val="20"/>
            <w:szCs w:val="20"/>
          </w:rPr>
          <w:t>20</w:t>
        </w:r>
        <w:r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C45C5B">
          <w:rPr>
            <w:rFonts w:cs="Segoe UI"/>
            <w:noProof/>
            <w:sz w:val="18"/>
            <w:szCs w:val="18"/>
            <w:lang w:val="fi-FI"/>
          </w:rPr>
          <w:t>Vivi Trismawaty Ponganan</w:t>
        </w:r>
      </w:p>
      <w:p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XXMonthXXXX</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6C0" w:rsidRDefault="00F266C0" w:rsidP="009B0AF6">
      <w:pPr>
        <w:spacing w:after="0" w:line="240" w:lineRule="auto"/>
      </w:pPr>
      <w:r>
        <w:separator/>
      </w:r>
    </w:p>
  </w:footnote>
  <w:footnote w:type="continuationSeparator" w:id="1">
    <w:p w:rsidR="00F266C0" w:rsidRDefault="00F266C0" w:rsidP="009B0A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97D" w:rsidRPr="00BF597D" w:rsidRDefault="00C459D6" w:rsidP="00471F0C">
    <w:pPr>
      <w:pStyle w:val="Header"/>
      <w:tabs>
        <w:tab w:val="clear" w:pos="4513"/>
        <w:tab w:val="center" w:pos="4253"/>
      </w:tabs>
      <w:rPr>
        <w:rFonts w:cs="Segoe UI"/>
        <w:sz w:val="20"/>
      </w:rPr>
    </w:pPr>
    <w:r w:rsidRPr="00C459D6">
      <w:rPr>
        <w:rFonts w:eastAsia="Times New Roman" w:cs="Segoe UI"/>
        <w:noProof/>
        <w:lang w:val="en-IN" w:eastAsia="en-IN"/>
      </w:rPr>
      <w:pict>
        <v:rect id="Rectangle 6" o:spid="_x0000_s1026" style="position:absolute;left:0;text-align:left;margin-left:-57.6pt;margin-top:-35.45pt;width:31.8pt;height:92.4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w:r>
    <w:r w:rsidR="00A36B0A">
      <w:rPr>
        <w:rFonts w:eastAsia="Times New Roman" w:cs="Segoe UI"/>
        <w:noProof/>
        <w:lang w:val="en-US"/>
      </w:rPr>
      <w:drawing>
        <wp:anchor distT="0" distB="0" distL="114300" distR="114300" simplePos="0" relativeHeight="251658240" behindDoc="0" locked="0" layoutInCell="1" allowOverlap="1">
          <wp:simplePos x="0" y="0"/>
          <wp:positionH relativeFrom="column">
            <wp:posOffset>-731520</wp:posOffset>
          </wp:positionH>
          <wp:positionV relativeFrom="paragraph">
            <wp:posOffset>517525</wp:posOffset>
          </wp:positionV>
          <wp:extent cx="403860" cy="1722120"/>
          <wp:effectExtent l="0" t="0" r="0" b="0"/>
          <wp:wrapNone/>
          <wp:docPr id="86126799" name="Picture 86126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nsid w:val="10DB53F5"/>
    <w:multiLevelType w:val="multilevel"/>
    <w:tmpl w:val="58F66D4A"/>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
    <w:nsid w:val="23204A20"/>
    <w:multiLevelType w:val="multilevel"/>
    <w:tmpl w:val="C38454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4AB37B13"/>
    <w:multiLevelType w:val="hybridMultilevel"/>
    <w:tmpl w:val="105E6B44"/>
    <w:lvl w:ilvl="0" w:tplc="DFCE988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
    <w:nsid w:val="5BF4645D"/>
    <w:multiLevelType w:val="multilevel"/>
    <w:tmpl w:val="051C6D2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0B6A2A"/>
    <w:multiLevelType w:val="multilevel"/>
    <w:tmpl w:val="7F6E2EA8"/>
    <w:lvl w:ilvl="0">
      <w:start w:val="1"/>
      <w:numFmt w:val="decimal"/>
      <w:lvlText w:val="%1."/>
      <w:lvlJc w:val="left"/>
      <w:pPr>
        <w:tabs>
          <w:tab w:val="num" w:pos="786"/>
        </w:tabs>
        <w:ind w:left="786" w:hanging="360"/>
      </w:pPr>
      <w:rPr>
        <w:rFonts w:ascii="Times New Roman" w:eastAsiaTheme="minorHAnsi" w:hAnsi="Times New Roman" w:cs="Times New Roman"/>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9">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nsid w:val="724352ED"/>
    <w:multiLevelType w:val="hybridMultilevel"/>
    <w:tmpl w:val="3EFCDCC0"/>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nsid w:val="72643D03"/>
    <w:multiLevelType w:val="hybridMultilevel"/>
    <w:tmpl w:val="ABE4BCF6"/>
    <w:lvl w:ilvl="0" w:tplc="08E6AB36">
      <w:start w:val="1"/>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nsid w:val="72A43B52"/>
    <w:multiLevelType w:val="multilevel"/>
    <w:tmpl w:val="0E4E1878"/>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6"/>
  </w:num>
  <w:num w:numId="2">
    <w:abstractNumId w:val="9"/>
  </w:num>
  <w:num w:numId="3">
    <w:abstractNumId w:val="4"/>
  </w:num>
  <w:num w:numId="4">
    <w:abstractNumId w:val="0"/>
  </w:num>
  <w:num w:numId="5">
    <w:abstractNumId w:val="3"/>
  </w:num>
  <w:num w:numId="6">
    <w:abstractNumId w:val="8"/>
  </w:num>
  <w:num w:numId="7">
    <w:abstractNumId w:val="2"/>
  </w:num>
  <w:num w:numId="8">
    <w:abstractNumId w:val="7"/>
  </w:num>
  <w:num w:numId="9">
    <w:abstractNumId w:val="11"/>
  </w:num>
  <w:num w:numId="10">
    <w:abstractNumId w:val="1"/>
  </w:num>
  <w:num w:numId="11">
    <w:abstractNumId w:val="10"/>
  </w:num>
  <w:num w:numId="12">
    <w:abstractNumId w:val="12"/>
  </w:num>
  <w:num w:numId="13">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9B0AF6"/>
    <w:rsid w:val="000055BE"/>
    <w:rsid w:val="000148CA"/>
    <w:rsid w:val="00025FBA"/>
    <w:rsid w:val="000620B4"/>
    <w:rsid w:val="000A1AC4"/>
    <w:rsid w:val="000C49B6"/>
    <w:rsid w:val="000F1318"/>
    <w:rsid w:val="00100027"/>
    <w:rsid w:val="0010607A"/>
    <w:rsid w:val="0012521E"/>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2D96"/>
    <w:rsid w:val="004865A9"/>
    <w:rsid w:val="00491740"/>
    <w:rsid w:val="004B7C52"/>
    <w:rsid w:val="00521D13"/>
    <w:rsid w:val="005362BB"/>
    <w:rsid w:val="00550BFE"/>
    <w:rsid w:val="005709A2"/>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C6EDF"/>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9E5D6B"/>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59D6"/>
    <w:rsid w:val="00C45C5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3B53"/>
    <w:rsid w:val="00D95354"/>
    <w:rsid w:val="00DA181C"/>
    <w:rsid w:val="00DC3281"/>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266C0"/>
    <w:rsid w:val="00F47AF5"/>
    <w:rsid w:val="00F61991"/>
    <w:rsid w:val="00F91DA0"/>
    <w:rsid w:val="00FE6D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34"/>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pdq2pgselectionanchorcontainer">
    <w:name w:val="pdq2pg_selectionanchorcontainer"/>
    <w:basedOn w:val="Normal"/>
    <w:rsid w:val="000F1318"/>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0F1318"/>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s://ojs.ukipaulus.ac.id/index.php/psnp"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6420</Words>
  <Characters>36597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V-V</cp:lastModifiedBy>
  <cp:revision>2</cp:revision>
  <cp:lastPrinted>2023-04-17T18:59:00Z</cp:lastPrinted>
  <dcterms:created xsi:type="dcterms:W3CDTF">2026-08-12T23:01:00Z</dcterms:created>
  <dcterms:modified xsi:type="dcterms:W3CDTF">2026-08-12T23:01:00Z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