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18034B" w:rsidRPr="0018034B" w:rsidP="0018034B" w14:paraId="4F15DC74" w14:textId="77777777">
      <w:pPr>
        <w:spacing w:after="0" w:line="240" w:lineRule="auto"/>
        <w:rPr>
          <w:rFonts w:ascii="Segoe UI" w:eastAsia="Calibri" w:hAnsi="Segoe UI" w:cs="Segoe UI"/>
          <w:i/>
          <w:iCs/>
          <w:kern w:val="0"/>
          <w:sz w:val="20"/>
          <w:szCs w:val="20"/>
          <w:u w:val="single"/>
          <w:lang w:val="en-US"/>
          <w14:ligatures w14:val="none"/>
        </w:rPr>
      </w:pPr>
      <w:r w:rsidRPr="0018034B">
        <w:rPr>
          <w:rFonts w:ascii="Segoe UI" w:eastAsia="Calibri" w:hAnsi="Segoe UI" w:cs="Segoe UI"/>
          <w:b/>
          <w:noProof/>
          <w:kern w:val="0"/>
          <w:sz w:val="28"/>
          <w:szCs w:val="28"/>
          <w:lang w:val="id-ID"/>
          <w14:ligatures w14:val="none"/>
        </w:rPr>
        <w:drawing>
          <wp:anchor distT="0" distB="0" distL="114300" distR="114300" simplePos="0" relativeHeight="251661312" behindDoc="1" locked="0" layoutInCell="1" allowOverlap="1">
            <wp:simplePos x="0" y="0"/>
            <wp:positionH relativeFrom="column">
              <wp:posOffset>4856480</wp:posOffset>
            </wp:positionH>
            <wp:positionV relativeFrom="paragraph">
              <wp:posOffset>51435</wp:posOffset>
            </wp:positionV>
            <wp:extent cx="1019175" cy="1130935"/>
            <wp:effectExtent l="0" t="0" r="9525" b="0"/>
            <wp:wrapThrough wrapText="bothSides">
              <wp:wrapPolygon>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Pr="0018034B">
        <w:rPr>
          <w:rFonts w:ascii="Segoe UI" w:eastAsia="Calibri" w:hAnsi="Segoe UI" w:cs="Segoe UI"/>
          <w:i/>
          <w:iCs/>
          <w:noProof/>
          <w:kern w:val="0"/>
          <w:sz w:val="20"/>
          <w:szCs w:val="20"/>
          <w:u w:val="single"/>
          <w:lang w:val="en-IN" w:eastAsia="en-IN"/>
          <w14:ligatures w14:val="none"/>
        </w:rPr>
        <w:drawing>
          <wp:anchor distT="0" distB="0" distL="114300" distR="114300" simplePos="0" relativeHeight="251660288" behindDoc="0" locked="0" layoutInCell="1" allowOverlap="1">
            <wp:simplePos x="0" y="0"/>
            <wp:positionH relativeFrom="column">
              <wp:posOffset>8255</wp:posOffset>
            </wp:positionH>
            <wp:positionV relativeFrom="paragraph">
              <wp:posOffset>120650</wp:posOffset>
            </wp:positionV>
            <wp:extent cx="939800" cy="880110"/>
            <wp:effectExtent l="0" t="0" r="0" b="0"/>
            <wp:wrapThrough wrapText="bothSides">
              <wp:wrapPolygon>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Pr="0018034B">
        <w:rPr>
          <w:rFonts w:ascii="Segoe UI" w:eastAsia="Calibri" w:hAnsi="Segoe UI" w:cs="Segoe UI"/>
          <w:i/>
          <w:noProof/>
          <w:kern w:val="0"/>
          <w:sz w:val="16"/>
          <w:szCs w:val="16"/>
          <w:lang w:val="en-IN" w:eastAsia="en-IN"/>
          <w14:ligatures w14:val="none"/>
        </w:rPr>
        <w:t xml:space="preserve">                                       </w:t>
      </w:r>
      <w:r w:rsidRPr="0018034B">
        <w:rPr>
          <w:rFonts w:ascii="Segoe UI" w:eastAsia="Calibri" w:hAnsi="Segoe UI" w:cs="Segoe UI"/>
          <w:b/>
          <w:kern w:val="0"/>
          <w:sz w:val="36"/>
          <w:szCs w:val="28"/>
          <w:lang w:val="id-ID"/>
          <w14:ligatures w14:val="none"/>
        </w:rPr>
        <w:t xml:space="preserve">Seminar Nasional </w:t>
      </w:r>
    </w:p>
    <w:p w:rsidR="0018034B" w:rsidRPr="0018034B" w:rsidP="0018034B" w14:paraId="14B7268F" w14:textId="77777777">
      <w:pPr>
        <w:tabs>
          <w:tab w:val="left" w:pos="612"/>
          <w:tab w:val="center" w:pos="4513"/>
        </w:tabs>
        <w:spacing w:after="0" w:line="240" w:lineRule="auto"/>
        <w:jc w:val="center"/>
        <w:rPr>
          <w:rFonts w:ascii="Segoe UI" w:eastAsia="Calibri" w:hAnsi="Segoe UI" w:cs="Segoe UI"/>
          <w:b/>
          <w:kern w:val="0"/>
          <w:sz w:val="36"/>
          <w:szCs w:val="28"/>
          <w:lang w:val="id-ID"/>
          <w14:ligatures w14:val="none"/>
        </w:rPr>
      </w:pPr>
      <w:r w:rsidRPr="0018034B">
        <w:rPr>
          <w:rFonts w:ascii="Segoe UI" w:eastAsia="Calibri" w:hAnsi="Segoe UI" w:cs="Segoe UI"/>
          <w:b/>
          <w:kern w:val="0"/>
          <w:sz w:val="36"/>
          <w:szCs w:val="28"/>
          <w:lang w:val="id-ID"/>
          <w14:ligatures w14:val="none"/>
        </w:rPr>
        <w:t>Humanesia</w:t>
      </w:r>
      <w:r w:rsidRPr="0018034B">
        <w:rPr>
          <w:rFonts w:ascii="Segoe UI" w:eastAsia="Calibri" w:hAnsi="Segoe UI" w:cs="Segoe UI"/>
          <w:b/>
          <w:kern w:val="0"/>
          <w:sz w:val="36"/>
          <w:szCs w:val="28"/>
          <w:lang w:val="id-ID"/>
          <w14:ligatures w14:val="none"/>
        </w:rPr>
        <w:t xml:space="preserve"> Pascasarjana</w:t>
      </w:r>
    </w:p>
    <w:p w:rsidR="0018034B" w:rsidRPr="0018034B" w:rsidP="0018034B" w14:paraId="514EFC50" w14:textId="77777777">
      <w:pPr>
        <w:spacing w:after="0" w:line="240" w:lineRule="auto"/>
        <w:jc w:val="center"/>
        <w:rPr>
          <w:rFonts w:ascii="Segoe UI" w:eastAsia="Calibri" w:hAnsi="Segoe UI" w:cs="Segoe UI"/>
          <w:b/>
          <w:kern w:val="0"/>
          <w:sz w:val="16"/>
          <w:szCs w:val="16"/>
          <w:lang w:val="id-ID"/>
          <w14:ligatures w14:val="none"/>
        </w:rPr>
      </w:pPr>
      <w:r w:rsidRPr="0018034B">
        <w:rPr>
          <w:rFonts w:ascii="Segoe UI" w:eastAsia="Calibri" w:hAnsi="Segoe UI" w:cs="Segoe UI"/>
          <w:b/>
          <w:kern w:val="0"/>
          <w:sz w:val="16"/>
          <w:szCs w:val="16"/>
          <w:lang w:val="id-ID"/>
          <w14:ligatures w14:val="none"/>
        </w:rPr>
        <w:t>(Humaniora, Ekonomi, Bisnis, Manajemen, Hukum dan Sosiologi)</w:t>
      </w:r>
    </w:p>
    <w:p w:rsidR="0018034B" w:rsidRPr="0018034B" w:rsidP="0018034B" w14:paraId="5E326406" w14:textId="77777777">
      <w:pPr>
        <w:spacing w:after="0" w:line="240" w:lineRule="auto"/>
        <w:jc w:val="center"/>
        <w:rPr>
          <w:rFonts w:ascii="Segoe UI" w:eastAsia="Calibri" w:hAnsi="Segoe UI" w:cs="Segoe UI"/>
          <w:b/>
          <w:kern w:val="0"/>
          <w:lang w:val="id-ID"/>
          <w14:ligatures w14:val="none"/>
        </w:rPr>
      </w:pPr>
      <w:r w:rsidRPr="0018034B">
        <w:rPr>
          <w:rFonts w:ascii="Segoe UI" w:eastAsia="Calibri" w:hAnsi="Segoe UI" w:cs="Segoe UI"/>
          <w:b/>
          <w:kern w:val="0"/>
          <w:lang w:val="id-ID"/>
          <w14:ligatures w14:val="none"/>
        </w:rPr>
        <w:t>Universitas Kristen Indonesia Paulus</w:t>
      </w:r>
    </w:p>
    <w:p w:rsidR="0018034B" w:rsidRPr="0018034B" w:rsidP="00680146" w14:paraId="4E3427A6" w14:textId="09E5810D">
      <w:pPr>
        <w:spacing w:after="0" w:line="240" w:lineRule="auto"/>
        <w:jc w:val="center"/>
        <w:rPr>
          <w:rFonts w:ascii="Segoe UI" w:eastAsia="Calibri" w:hAnsi="Segoe UI" w:cs="Segoe UI"/>
          <w:b/>
          <w:kern w:val="0"/>
          <w:sz w:val="20"/>
          <w:szCs w:val="20"/>
          <w:lang w:val="id-ID"/>
          <w14:ligatures w14:val="none"/>
        </w:rPr>
      </w:pPr>
      <w:r w:rsidRPr="0018034B">
        <w:rPr>
          <w:rFonts w:ascii="Segoe UI" w:eastAsia="Calibri" w:hAnsi="Segoe UI" w:cs="Segoe UI"/>
          <w:b/>
          <w:kern w:val="0"/>
          <w:sz w:val="20"/>
          <w:szCs w:val="20"/>
          <w:lang w:val="id-ID"/>
          <w14:ligatures w14:val="none"/>
        </w:rPr>
        <w:t>Makassar, Indonesia</w:t>
      </w:r>
    </w:p>
    <w:p w:rsidR="00EB74D3" w:rsidP="0018034B" w14:paraId="41E1F39B" w14:textId="77777777">
      <w:r w:rsidRPr="0018034B">
        <w:rPr>
          <w:rFonts w:ascii="Segoe UI" w:eastAsia="Calibri" w:hAnsi="Segoe UI" w:cs="Segoe UI"/>
          <w:i/>
          <w:iCs/>
          <w:noProof/>
          <w:kern w:val="0"/>
          <w:sz w:val="20"/>
          <w:szCs w:val="20"/>
          <w:u w:val="single"/>
          <w:lang w:val="en-IN" w:eastAsia="en-IN"/>
          <w14:ligatures w14:val="none"/>
        </w:rPr>
        <mc:AlternateContent>
          <mc:Choice Requires="wps">
            <w:drawing>
              <wp:anchor distT="0" distB="0" distL="114300" distR="114300" simplePos="0" relativeHeight="251658240" behindDoc="0" locked="0" layoutInCell="1" allowOverlap="1">
                <wp:simplePos x="0" y="0"/>
                <wp:positionH relativeFrom="column">
                  <wp:posOffset>169545</wp:posOffset>
                </wp:positionH>
                <wp:positionV relativeFrom="paragraph">
                  <wp:posOffset>208915</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5667375" cy="0"/>
                        </a:xfrm>
                        <a:prstGeom prst="line">
                          <a:avLst/>
                        </a:prstGeom>
                        <a:noFill/>
                        <a:ln w="12700">
                          <a:solidFill>
                            <a:srgbClr val="000000"/>
                          </a:solidFill>
                          <a:prstDash val="solid"/>
                          <a:miter lim="800000"/>
                        </a:ln>
                        <a:effectLst/>
                      </wps:spPr>
                      <wps:bodyPr/>
                    </wps:wsp>
                  </a:graphicData>
                </a:graphic>
                <wp14:sizeRelV relativeFrom="margin">
                  <wp14:pctHeight>0</wp14:pctHeight>
                </wp14:sizeRelV>
              </wp:anchor>
            </w:drawing>
          </mc:Choice>
          <mc:Fallback>
            <w:pict>
              <v:line id="Straight Connector 1" o:spid="_x0000_s1025" style="flip:y;mso-height-percent:0;mso-height-relative:margin;mso-wrap-distance-bottom:0;mso-wrap-distance-left:9pt;mso-wrap-distance-right:9pt;mso-wrap-distance-top:0;mso-wrap-style:square;position:absolute;visibility:visible;z-index:251659264" from="13.35pt,16.45pt" to="459.6pt,16.45pt" strokeweight="1pt">
                <v:stroke joinstyle="miter"/>
              </v:line>
            </w:pict>
          </mc:Fallback>
        </mc:AlternateContent>
      </w:r>
    </w:p>
    <w:p w:rsidR="0018034B" w:rsidP="0018034B" w14:paraId="144B5528" w14:textId="77777777"/>
    <w:p w:rsidR="00713BB2" w14:paraId="290E9CD3" w14:textId="77777777">
      <w:pPr>
        <w:spacing w:before="200" w:after="0" w:line="240" w:lineRule="auto"/>
        <w:jc w:val="center"/>
      </w:pPr>
      <w:r>
        <w:rPr>
          <w:rFonts w:ascii="Arial" w:eastAsia="Arial" w:hAnsi="Arial"/>
          <w:b/>
          <w:sz w:val="36"/>
        </w:rPr>
        <w:t>KONTRIBUSI PENGEMBANGAN PENDIDIKAN DAN KETENAGAKERJAAN ORANG ASLI PAPUA (OAP) BAGI PERTUMBUHAN EKONOMI KABUPATEN PUNCAK</w:t>
      </w:r>
    </w:p>
    <w:p w:rsidR="00713BB2" w14:paraId="30A31475" w14:textId="77777777">
      <w:pPr>
        <w:spacing w:after="0" w:line="240" w:lineRule="auto"/>
      </w:pPr>
    </w:p>
    <w:p w:rsidR="00713BB2" w14:paraId="7B54A31E" w14:textId="77777777">
      <w:pPr>
        <w:spacing w:after="0" w:line="240" w:lineRule="auto"/>
        <w:jc w:val="center"/>
      </w:pPr>
      <w:r>
        <w:rPr>
          <w:rFonts w:ascii="Arial" w:eastAsia="Arial" w:hAnsi="Arial"/>
          <w:b/>
          <w:sz w:val="20"/>
        </w:rPr>
        <w:t>YUNITA WAKERKWA</w:t>
      </w:r>
    </w:p>
    <w:p w:rsidR="00713BB2" w14:paraId="7902B533" w14:textId="77777777">
      <w:pPr>
        <w:spacing w:before="160" w:after="0" w:line="240" w:lineRule="auto"/>
        <w:jc w:val="center"/>
      </w:pPr>
      <w:r>
        <w:rPr>
          <w:rFonts w:ascii="Arial" w:eastAsia="Arial" w:hAnsi="Arial"/>
          <w:b/>
          <w:sz w:val="20"/>
        </w:rPr>
        <w:t>PROGRAM STUDI MAGISTER MANAJEMEN KONSENTRASI SUMBER DAYA MANUSIA</w:t>
      </w:r>
    </w:p>
    <w:p w:rsidR="00713BB2" w14:paraId="77EE56BE" w14:textId="77777777">
      <w:pPr>
        <w:spacing w:before="160" w:after="0" w:line="240" w:lineRule="auto"/>
        <w:jc w:val="center"/>
      </w:pPr>
      <w:r>
        <w:rPr>
          <w:rFonts w:ascii="Arial" w:eastAsia="Arial" w:hAnsi="Arial"/>
          <w:b/>
          <w:sz w:val="20"/>
        </w:rPr>
        <w:t>UNIVERSITAS KRISTEN INDONESIA PAULUS MAKASSAR</w:t>
      </w:r>
    </w:p>
    <w:p w:rsidR="00713BB2" w14:paraId="0D82A28D" w14:textId="5077E357">
      <w:pPr>
        <w:spacing w:before="160" w:after="0" w:line="240" w:lineRule="auto"/>
        <w:jc w:val="center"/>
      </w:pPr>
      <w:r>
        <w:rPr>
          <w:rFonts w:ascii="Arial" w:eastAsia="Arial" w:hAnsi="Arial"/>
          <w:b/>
          <w:sz w:val="20"/>
        </w:rPr>
        <w:t xml:space="preserve">EMAIL : </w:t>
      </w:r>
      <w:r w:rsidRPr="00B45752" w:rsidR="00B45752">
        <w:rPr>
          <w:rFonts w:ascii="Arial" w:eastAsia="Arial" w:hAnsi="Arial"/>
          <w:b/>
          <w:sz w:val="20"/>
          <w:highlight w:val="yellow"/>
        </w:rPr>
        <w:t>………….</w:t>
      </w:r>
    </w:p>
    <w:p w:rsidR="00713BB2" w14:paraId="67A2A182" w14:textId="77777777">
      <w:pPr>
        <w:spacing w:after="0" w:line="240" w:lineRule="auto"/>
      </w:pPr>
    </w:p>
    <w:p w:rsidR="00713BB2" w14:paraId="651AF175" w14:textId="77777777">
      <w:pPr>
        <w:spacing w:after="0" w:line="240" w:lineRule="auto"/>
      </w:pPr>
    </w:p>
    <w:p w:rsidR="00713BB2" w14:paraId="55AE11A9" w14:textId="77777777">
      <w:pPr>
        <w:spacing w:after="0" w:line="240" w:lineRule="auto"/>
        <w:jc w:val="center"/>
      </w:pPr>
      <w:r>
        <w:rPr>
          <w:rFonts w:ascii="Arial" w:eastAsia="Arial" w:hAnsi="Arial"/>
          <w:b/>
          <w:sz w:val="20"/>
        </w:rPr>
        <w:t>Abstrak</w:t>
      </w:r>
    </w:p>
    <w:p w:rsidR="00713BB2" w14:paraId="11E8596A" w14:textId="77777777">
      <w:pPr>
        <w:spacing w:after="0" w:line="240" w:lineRule="auto"/>
        <w:jc w:val="both"/>
      </w:pPr>
      <w:r>
        <w:rPr>
          <w:rFonts w:ascii="Arial" w:eastAsia="Arial" w:hAnsi="Arial"/>
          <w:sz w:val="20"/>
        </w:rPr>
        <w:t>Penelitian ini menganalisis kontribusi pengembangan pendidikan dan ketenagakerjaan Orang Asli Papua (OAP) terhadap penguatan kapasitas ekonomi Kabupaten Puncak. Penelitian menggunakan desain deskriptif kualitatif dan dilaksanakan pada tahun 2026 dengan melibatkan 10 informan yang dipilih secara purposif dari perangkat daerah lintas sektor, meliputi unsur sekretariat daerah, pertanian, perindustrian dan koperasi, perekonomian, ketahanan pangan, kesejahteraan rakyat, sosial, UMKM, dan hukum. Data diperoleh melalui wawancara mendalam, observasi, dan dokumentasi, kemudian dianalisis melalui reduksi/kondensasi data, penyajian data, serta penarikan dan verifikasi kesimpulan. Hasil penelitian menunjukkan bahwa pengembangan pendidikan OAP belum optimal karena akses wilayah pedalaman, keterbatasan sarana, kekurangan dan ketidakmerataan guru, serta menurunnya partisipasi pada jenjang menengah. Ketenagakerjaan OAP masih didominasi sektor informal, terutama pertanian tradisional, UMKM, perdagangan kecil, dan usaha rumah tangga, sedangkan keterlibatan pada sektor formal masih terbatas. Faktor pendukung utama adalah kebijakan afirmasi, Dana Otonomi Khusus, komitmen pemerintah daerah, program beasiswa dan pemberdayaan, serta potensi pertanian dan UMKM; sementara faktor penghambat meliputi geografis, infrastruktur, keterampilan, modal, teknologi, informasi kerja, akses pasar, dan pendampingan. Temuan mengidentifikasi mekanisme integratif pendidikan–kompetensi–dua jalur ketenagakerjaan (formal dan ekonomi lokal)–peningkatan kesempatan kerja dan usaha–pendapatan serta kemandirian ekonomi OAP. Penelitian merekomendasikan pengembangan SDM yang lintas sektor, afirmatif, berbasis potensi lokal, dan adaptif terhadap karakteristik pegunungan Kabupaten Puncak.</w:t>
      </w:r>
    </w:p>
    <w:p w:rsidR="00713BB2" w14:paraId="19BAE2E5" w14:textId="77777777">
      <w:pPr>
        <w:spacing w:after="0" w:line="240" w:lineRule="auto"/>
      </w:pPr>
    </w:p>
    <w:p w:rsidR="00713BB2" w14:paraId="319F2530" w14:textId="77777777">
      <w:pPr>
        <w:spacing w:after="0" w:line="240" w:lineRule="auto"/>
        <w:jc w:val="both"/>
      </w:pPr>
      <w:r>
        <w:rPr>
          <w:rFonts w:ascii="Arial" w:eastAsia="Arial" w:hAnsi="Arial"/>
          <w:b/>
          <w:sz w:val="20"/>
        </w:rPr>
        <w:t>Kata Kunci:</w:t>
      </w:r>
      <w:r>
        <w:rPr>
          <w:rFonts w:ascii="Arial" w:eastAsia="Arial" w:hAnsi="Arial"/>
          <w:sz w:val="20"/>
        </w:rPr>
        <w:t xml:space="preserve"> pendidikan, ketenagakerjaan, Orang Asli Papua, modal manusia, pertumbuhan ekonomi, Kabupaten Puncak.</w:t>
      </w:r>
    </w:p>
    <w:p w:rsidR="00713BB2" w14:paraId="41626C8B" w14:textId="77777777">
      <w:pPr>
        <w:spacing w:after="0" w:line="240" w:lineRule="auto"/>
      </w:pPr>
    </w:p>
    <w:p w:rsidR="00713BB2" w14:paraId="77EADC9F" w14:textId="77777777">
      <w:pPr>
        <w:spacing w:after="0" w:line="240" w:lineRule="auto"/>
        <w:jc w:val="center"/>
      </w:pPr>
      <w:r>
        <w:rPr>
          <w:rFonts w:ascii="Arial" w:eastAsia="Arial" w:hAnsi="Arial"/>
          <w:b/>
          <w:sz w:val="20"/>
        </w:rPr>
        <w:t>Abstract</w:t>
      </w:r>
    </w:p>
    <w:p w:rsidR="00713BB2" w14:paraId="081EAE96" w14:textId="77777777">
      <w:pPr>
        <w:spacing w:after="0" w:line="240" w:lineRule="auto"/>
        <w:jc w:val="both"/>
      </w:pPr>
      <w:r>
        <w:rPr>
          <w:rFonts w:ascii="Arial" w:eastAsia="Arial" w:hAnsi="Arial"/>
          <w:sz w:val="20"/>
        </w:rPr>
        <w:t xml:space="preserve">This study analyzes the contribution of education and employment development among Indigenous Papuans (Orang Asli Papua/OAP) to strengthening the economic capacity of Puncak Regency. A qualitative descriptive design was employed in 2026, involving 10 purposively selected informants from cross-sector local government agencies, including the regional secretariat, agriculture, industry and cooperatives, economic affairs, food security, social welfare, social services, MSMEs, and legal affairs. Data were collected through in-depth interviews, observation, and document review and analyzed </w:t>
      </w:r>
      <w:r>
        <w:rPr>
          <w:rFonts w:ascii="Arial" w:eastAsia="Arial" w:hAnsi="Arial"/>
          <w:sz w:val="20"/>
        </w:rPr>
        <w:t>through data reduction/condensation, data display, and conclusion drawing and verification. The findings show that OAP education development remains suboptimal because of difficult access to remote areas, limited educational facilities, shortages and uneven distribution of teachers, and declining participation at the secondary level. OAP employment remains concentrated in the informal sector, particularly traditional agriculture, MSMEs, small-scale trade, and household enterprises, while participation in formal employment is still limited. The main enabling factors are affirmative policies, Special Autonomy funding, local government commitment, scholarship and empowerment programs, and the potential of agriculture and MSMEs. Major constraints include geography, infrastructure, skills, capital, technology, job information, market access, and mentoring. The study identifies an integrated mechanism linking education, competence development, two employment pathways (formal employment and the local economy), expanded work and business opportunities, income, and OAP economic self-reliance. It recommends a cross-sector, affirmative, locally grounded, and geographically adaptive human-resource development strategy for Puncak Regency.</w:t>
      </w:r>
    </w:p>
    <w:p w:rsidR="00713BB2" w14:paraId="1C1C567C" w14:textId="77777777">
      <w:pPr>
        <w:spacing w:after="0" w:line="240" w:lineRule="auto"/>
        <w:jc w:val="both"/>
      </w:pPr>
      <w:r>
        <w:rPr>
          <w:rFonts w:ascii="Arial" w:eastAsia="Arial" w:hAnsi="Arial"/>
          <w:b/>
          <w:sz w:val="20"/>
        </w:rPr>
        <w:t>Keywords:</w:t>
      </w:r>
      <w:r>
        <w:rPr>
          <w:rFonts w:ascii="Arial" w:eastAsia="Arial" w:hAnsi="Arial"/>
          <w:sz w:val="20"/>
        </w:rPr>
        <w:t xml:space="preserve"> education, employment, Indigenous Papuans, human capital, economic growth, Puncak Regency.</w:t>
      </w:r>
    </w:p>
    <w:p w:rsidR="00713BB2" w14:paraId="062E8A0C" w14:textId="77777777">
      <w:pPr>
        <w:spacing w:after="0" w:line="240" w:lineRule="auto"/>
      </w:pPr>
    </w:p>
    <w:p w:rsidR="00713BB2" w14:paraId="4272AE46" w14:textId="77777777">
      <w:pPr>
        <w:keepNext/>
        <w:spacing w:before="100" w:after="40" w:line="240" w:lineRule="auto"/>
      </w:pPr>
      <w:r>
        <w:rPr>
          <w:rFonts w:ascii="Arial" w:eastAsia="Arial" w:hAnsi="Arial"/>
          <w:b/>
          <w:sz w:val="20"/>
        </w:rPr>
        <w:t>Ⅰ. PENDAHULUAN</w:t>
      </w:r>
    </w:p>
    <w:p w:rsidR="00713BB2" w14:paraId="44948AF2" w14:textId="77777777">
      <w:pPr>
        <w:spacing w:after="0" w:line="240" w:lineRule="auto"/>
        <w:ind w:firstLine="850"/>
        <w:jc w:val="both"/>
      </w:pPr>
      <w:r>
        <w:rPr>
          <w:rFonts w:ascii="Arial" w:eastAsia="Arial" w:hAnsi="Arial"/>
          <w:sz w:val="20"/>
        </w:rPr>
        <w:t>Pembangunan sumber daya manusia merupakan salah satu fondasi pertumbuhan ekonomi daerah karena kualitas pendidikan, keterampilan, dan produktivitas menentukan kemampuan masyarakat dalam menghasilkan nilai tambah. Dalam perspektif Human Capital Theory, pendidikan dan pelatihan dipandang sebagai investasi yang meningkatkan pengetahuan, keterampilan, kapasitas kerja, dan produktivitas individu (Schultz, 1961; Becker, 1993). Pada tingkat regional, peningkatan kualitas modal manusia kemudian berhubungan dengan produktivitas, pendapatan, daya beli, kemampuan berinovasi, serta kapasitas perekonomian untuk berkembang secara lebih inklusif (Todaro &amp; Smith, 2015). Dengan demikian, pendidikan dan ketenagakerjaan bukan dua sektor yang berdiri sendiri, tetapi merupakan rangkaian pembangunan yang saling memengaruhi.</w:t>
      </w:r>
    </w:p>
    <w:p w:rsidR="00713BB2" w14:paraId="11A345C0" w14:textId="77777777">
      <w:pPr>
        <w:spacing w:after="0" w:line="240" w:lineRule="auto"/>
        <w:ind w:firstLine="850"/>
        <w:jc w:val="both"/>
      </w:pPr>
      <w:r>
        <w:rPr>
          <w:rFonts w:ascii="Arial" w:eastAsia="Arial" w:hAnsi="Arial"/>
          <w:sz w:val="20"/>
        </w:rPr>
        <w:t>Keterkaitan tersebut menjadi sangat penting pada wilayah dengan tantangan geografis dan infrastruktur yang tinggi seperti Kabupaten Puncak, Provinsi Papua Tengah. Karakter pegunungan, pola permukiman yang terpencar, keterbatasan transportasi, dan tingginya biaya distribusi berdampak langsung terhadap akses masyarakat pada sekolah, pelatihan, informasi pekerjaan, pasar, dan pelayanan publik. Pada saat yang sama, struktur mata pencaharian masyarakat Orang Asli Papua (OAP) masih banyak bertumpu pada pertanian tradisional, perdagangan kecil, UMKM, dan kegiatan ekonomi rumah tangga. Kondisi ini menjadikan peningkatan kualitas sumber daya manusia sebagai prasyarat penting untuk memperluas kesempatan kerja sekaligus meningkatkan produktivitas ekonomi lokal (Badan Pusat Statistik Kabupaten Puncak, 2024).</w:t>
      </w:r>
    </w:p>
    <w:p w:rsidR="00713BB2" w14:paraId="3FB79670" w14:textId="77777777">
      <w:pPr>
        <w:spacing w:after="0" w:line="240" w:lineRule="auto"/>
        <w:ind w:firstLine="850"/>
        <w:jc w:val="both"/>
      </w:pPr>
      <w:r>
        <w:rPr>
          <w:rFonts w:ascii="Arial" w:eastAsia="Arial" w:hAnsi="Arial"/>
          <w:sz w:val="20"/>
        </w:rPr>
        <w:t>Secara kebijakan, pengembangan OAP memperoleh dukungan melalui kerangka Otonomi Khusus Papua. Undang-Undang Nomor 2 Tahun 2021 dan peraturan pelaksanaannya memberikan dasar bagi kebijakan afirmasi, pembiayaan khusus, serta penguatan pelayanan publik dan pembangunan sumber daya manusia. Dalam konteks pendidikan dan ketenagakerjaan, kerangka tersebut membuka ruang bagi beasiswa OAP, peningkatan sarana pendidikan, penguatan tenaga pendidik, pelatihan kerja, pemberdayaan usaha, dan perluasan kesempatan bagi OAP untuk berpartisipasi dalam sektor formal maupun ekonomi lokal (Republik Indonesia, 2021a, 2021b, 2021c). Namun, keberadaan dukungan regulasi dan pembiayaan belum selalu identik dengan pemerataan manfaat di seluruh wilayah.</w:t>
      </w:r>
    </w:p>
    <w:p w:rsidR="00713BB2" w14:paraId="01132FAB" w14:textId="77777777">
      <w:pPr>
        <w:spacing w:after="0" w:line="240" w:lineRule="auto"/>
        <w:ind w:firstLine="850"/>
        <w:jc w:val="both"/>
      </w:pPr>
      <w:r>
        <w:rPr>
          <w:rFonts w:ascii="Arial" w:eastAsia="Arial" w:hAnsi="Arial"/>
          <w:sz w:val="20"/>
        </w:rPr>
        <w:t>Temuan awal penelitian menunjukkan bahwa kondisi pendidikan OAP di Kabupaten Puncak masih menghadapi persoalan akses dan keberlanjutan. Partisipasi pendidikan relatif lebih baik pada jenjang dasar, tetapi cenderung menurun pada jenjang SMP dan SMA. Hambatan yang berulang meliputi jarak, akses transportasi, terbatasnya ruang belajar dan asrama siswa, kekurangan tenaga pendidik, serta distribusi guru yang belum merata. Pemerintah daerah telah melaksanakan program beasiswa, pembangunan dan rehabilitasi sekolah, bantuan pendidikan, penempatan guru, serta peningkatan kesejahteraan tenaga pendidik, tetapi jangkauan dan keberlanjutan program masih belum merata pada wilayah pedalaman.</w:t>
      </w:r>
    </w:p>
    <w:p w:rsidR="00713BB2" w14:paraId="58185297" w14:textId="77777777">
      <w:pPr>
        <w:spacing w:after="0" w:line="240" w:lineRule="auto"/>
        <w:ind w:firstLine="850"/>
        <w:jc w:val="both"/>
      </w:pPr>
      <w:r>
        <w:rPr>
          <w:rFonts w:ascii="Arial" w:eastAsia="Arial" w:hAnsi="Arial"/>
          <w:sz w:val="20"/>
        </w:rPr>
        <w:t xml:space="preserve">Persoalan pendidikan tersebut berkaitan erat dengan struktur ketenagakerjaan. Sebagian besar OAP masih bekerja pada sektor informal, terutama pertanian tradisional, tanaman pangan dan hortikultura, perdagangan kecil, kios, UMKM, dan usaha rumah tangga. Keterlibatan pada sektor formal masih rendah karena tingkat pendidikan dan keterampilan belum sepenuhnya sesuai dengan tuntutan pekerjaan. Selain itu, akses terhadap modal, teknologi, informasi pekerjaan, pasar, dan pendampingan usaha juga terbatas. Kondisi ini menunjukkan bahwa pembangunan ketenagakerjaan di Kabupaten </w:t>
      </w:r>
      <w:r>
        <w:rPr>
          <w:rFonts w:ascii="Arial" w:eastAsia="Arial" w:hAnsi="Arial"/>
          <w:sz w:val="20"/>
        </w:rPr>
        <w:t>Puncak tidak cukup hanya diarahkan pada penyerapan tenaga kerja formal; penguatan produktivitas sektor ekonomi lokal juga harus menjadi bagian utama strategi pembangunan.</w:t>
      </w:r>
    </w:p>
    <w:p w:rsidR="00713BB2" w14:paraId="38254FC9" w14:textId="77777777">
      <w:pPr>
        <w:spacing w:after="0" w:line="240" w:lineRule="auto"/>
        <w:ind w:firstLine="850"/>
        <w:jc w:val="both"/>
      </w:pPr>
      <w:r>
        <w:rPr>
          <w:rFonts w:ascii="Arial" w:eastAsia="Arial" w:hAnsi="Arial"/>
          <w:sz w:val="20"/>
        </w:rPr>
        <w:t>Sejumlah penelitian sebelumnya menunjukkan keterkaitan antara pendidikan, pembangunan manusia, dan pertumbuhan ekonomi. Bastianingrum (2024) menunjukkan bahwa pendidikan dan pembangunan manusia berkaitan dengan pertumbuhan ekonomi daerah, sedangkan kajian mengenai kualitas sumber daya manusia di Papua menegaskan pentingnya peningkatan kapasitas manusia dalam pembangunan ekonomi wilayah (Yohana et al., 2022). Meskipun demikian, studi yang menempatkan pendidikan OAP, pembentukan kompetensi, ketenagakerjaan formal, ekonomi lokal, dan kebijakan afirmasi dalam satu kerangka yang terintegrasi masih terbatas, khususnya pada konteks Kabupaten Puncak yang memiliki karakter pegunungan dan keterisolasian wilayah. Di sinilah letak kesenjangan empiris dan kontekstual penelitian ini.</w:t>
      </w:r>
    </w:p>
    <w:p w:rsidR="00713BB2" w14:paraId="0A72AAAA" w14:textId="77777777">
      <w:pPr>
        <w:spacing w:after="0" w:line="240" w:lineRule="auto"/>
        <w:ind w:firstLine="850"/>
        <w:jc w:val="both"/>
      </w:pPr>
      <w:r>
        <w:rPr>
          <w:rFonts w:ascii="Arial" w:eastAsia="Arial" w:hAnsi="Arial"/>
          <w:sz w:val="20"/>
        </w:rPr>
        <w:t>Berdasarkan latar belakang tersebut, penelitian ini bertujuan untuk: (1) menganalisis kondisi pengembangan pendidikan OAP di Kabupaten Puncak; (2) menganalisis kondisi ketenagakerjaan OAP; dan (3) mengidentifikasi faktor yang mendukung dan menghambat pengembangan kedua aspek tersebut. Kontribusi utama penelitian adalah merumuskan keterkaitan integratif antara pemerataan pendidikan, pembentukan kompetensi, dua jalur pengembangan ketenagakerjaan—jalur formal dan jalur ekonomi lokal—serta peningkatan kesempatan kerja, usaha, pendapatan, dan kemandirian ekonomi OAP. Kerangka ini diharapkan memberi dasar yang lebih operasional bagi kebijakan pembangunan sumber daya manusia yang inklusif dan sesuai dengan karakteristik Kabupaten Puncak.</w:t>
      </w:r>
    </w:p>
    <w:p w:rsidR="00713BB2" w14:paraId="6C09EAA9" w14:textId="77777777">
      <w:pPr>
        <w:keepNext/>
        <w:spacing w:before="100" w:after="40" w:line="240" w:lineRule="auto"/>
      </w:pPr>
      <w:r>
        <w:rPr>
          <w:rFonts w:ascii="Arial" w:eastAsia="Arial" w:hAnsi="Arial"/>
          <w:b/>
          <w:sz w:val="20"/>
        </w:rPr>
        <w:t>Ⅱ. METODOLOGI PENELITIAN</w:t>
      </w:r>
    </w:p>
    <w:p w:rsidR="00713BB2" w14:paraId="537C4A5B" w14:textId="77777777">
      <w:pPr>
        <w:keepNext/>
        <w:spacing w:before="60" w:after="20" w:line="240" w:lineRule="auto"/>
      </w:pPr>
      <w:r>
        <w:rPr>
          <w:rFonts w:ascii="Arial" w:eastAsia="Arial" w:hAnsi="Arial"/>
          <w:b/>
          <w:sz w:val="20"/>
        </w:rPr>
        <w:t>2.1 Desain dan Lokasi Penelitian</w:t>
      </w:r>
    </w:p>
    <w:p w:rsidR="00713BB2" w14:paraId="623D73BA" w14:textId="77777777">
      <w:pPr>
        <w:spacing w:after="0" w:line="240" w:lineRule="auto"/>
        <w:ind w:firstLine="850"/>
        <w:jc w:val="both"/>
      </w:pPr>
      <w:r>
        <w:rPr>
          <w:rFonts w:ascii="Arial" w:eastAsia="Arial" w:hAnsi="Arial"/>
          <w:sz w:val="20"/>
        </w:rPr>
        <w:t>Penelitian ini menggunakan desain deskriptif kualitatif karena fokus penelitian adalah memahami kondisi aktual pengembangan pendidikan dan ketenagakerjaan OAP, pengalaman dan penilaian para pemangku kebijakan, serta hubungan kontekstual antara pendidikan, kompetensi, kesempatan kerja, dan ekonomi lokal. Desain deskriptif kualitatif memungkinkan fenomena dirangkum secara dekat dengan kondisi dan bahasa lapangan tanpa mengestimasi hubungan kausal secara statistik (Sandelowski, 2000). Penelitian dilaksanakan di Kabupaten Puncak, Provinsi Papua Tengah, pada tahun 2026, mulai dari persiapan, pengumpulan data, analisis, hingga penyusunan laporan.</w:t>
      </w:r>
    </w:p>
    <w:p w:rsidR="00713BB2" w14:paraId="6A8D8B46" w14:textId="77777777">
      <w:pPr>
        <w:keepNext/>
        <w:spacing w:before="60" w:after="20" w:line="240" w:lineRule="auto"/>
      </w:pPr>
      <w:r>
        <w:rPr>
          <w:rFonts w:ascii="Arial" w:eastAsia="Arial" w:hAnsi="Arial"/>
          <w:b/>
          <w:sz w:val="20"/>
        </w:rPr>
        <w:t>2.2 Informan Penelitian</w:t>
      </w:r>
    </w:p>
    <w:p w:rsidR="00713BB2" w14:paraId="5324DB10" w14:textId="77777777">
      <w:pPr>
        <w:spacing w:after="0" w:line="240" w:lineRule="auto"/>
        <w:ind w:firstLine="850"/>
        <w:jc w:val="both"/>
      </w:pPr>
      <w:r>
        <w:rPr>
          <w:rFonts w:ascii="Arial" w:eastAsia="Arial" w:hAnsi="Arial"/>
          <w:sz w:val="20"/>
        </w:rPr>
        <w:t>Informan ditentukan secara purposif berdasarkan keterlibatan langsung, pengetahuan, pengalaman, dan posisi mereka dalam program pembangunan daerah. Pemilihan purposif digunakan untuk memperoleh informasi yang kaya dan relevan dengan fenomena yang diteliti (Palinkas et al., 2015). Sebanyak 10 informan berasal dari unsur Sekretariat Daerah dan perangkat daerah yang menangani pertanian, perindustrian dan koperasi, perekonomian, tanaman pangan dan hortikultura, kesejahteraan rakyat, ketahanan pangan, sosial, koperasi dan UMKM, serta hukum. Pengalaman kerja informan berkisar sekitar 15–25 tahun sehingga perspektif yang diperoleh mencakup kebijakan, implementasi program, serta kondisi faktual lapangan.</w:t>
      </w:r>
    </w:p>
    <w:p w:rsidR="00713BB2" w14:paraId="47F4DE76" w14:textId="77777777">
      <w:pPr>
        <w:keepNext/>
        <w:spacing w:before="60" w:after="20" w:line="240" w:lineRule="auto"/>
      </w:pPr>
      <w:r>
        <w:rPr>
          <w:rFonts w:ascii="Arial" w:eastAsia="Arial" w:hAnsi="Arial"/>
          <w:b/>
          <w:sz w:val="20"/>
        </w:rPr>
        <w:t>2.3 Teknik Pengumpulan Data</w:t>
      </w:r>
    </w:p>
    <w:p w:rsidR="00713BB2" w14:paraId="1807330E" w14:textId="77777777">
      <w:pPr>
        <w:spacing w:after="0" w:line="240" w:lineRule="auto"/>
        <w:ind w:firstLine="850"/>
        <w:jc w:val="both"/>
      </w:pPr>
      <w:r>
        <w:rPr>
          <w:rFonts w:ascii="Arial" w:eastAsia="Arial" w:hAnsi="Arial"/>
          <w:sz w:val="20"/>
        </w:rPr>
        <w:t>Data dikumpulkan melalui tiga teknik. Pertama, wawancara mendalam menggunakan pedoman yang mencakup kondisi pendidikan OAP, partisipasi sekolah, program pemerintah, sarana dan tenaga pendidik, struktur ketenagakerjaan, sektor pekerjaan, keterlibatan pada sektor formal, pelatihan kerja, faktor pendukung dan penghambat, serta prioritas solusi. Kedua, observasi terhadap kondisi pelayanan, aktivitas pendidikan dan ekonomi, serta dukungan infrastruktur yang relevan. Ketiga, dokumentasi terhadap laporan dan data dari Badan Pusat Statistik, Dinas Pendidikan, Dinas Tenaga Kerja, Bappeda, dan perangkat daerah terkait. Kombinasi sumber tersebut digunakan untuk memperkuat keterbacaan konteks dan konsistensi pola temuan.</w:t>
      </w:r>
    </w:p>
    <w:p w:rsidR="00713BB2" w14:paraId="673E5FEC" w14:textId="77777777">
      <w:pPr>
        <w:keepNext/>
        <w:spacing w:before="60" w:after="20" w:line="240" w:lineRule="auto"/>
      </w:pPr>
      <w:r>
        <w:rPr>
          <w:rFonts w:ascii="Arial" w:eastAsia="Arial" w:hAnsi="Arial"/>
          <w:b/>
          <w:sz w:val="20"/>
        </w:rPr>
        <w:t>2.4 Teknik Analisis Data</w:t>
      </w:r>
    </w:p>
    <w:p w:rsidR="00713BB2" w14:paraId="5EF2D7A5" w14:textId="77777777">
      <w:pPr>
        <w:spacing w:after="0" w:line="240" w:lineRule="auto"/>
        <w:ind w:firstLine="850"/>
        <w:jc w:val="both"/>
      </w:pPr>
      <w:r>
        <w:rPr>
          <w:rFonts w:ascii="Arial" w:eastAsia="Arial" w:hAnsi="Arial"/>
          <w:sz w:val="20"/>
        </w:rPr>
        <w:t>Analisis dilakukan secara interaktif melalui reduksi/kondensasi data, penyajian data, serta penarikan dan verifikasi kesimpulan (Miles, Huberman, &amp; Saldaña, 2014). Jawaban sepuluh informan dikelompokkan menurut tiga fokus penelitian, kemudian dibandingkan untuk mengidentifikasi kesamaan, perbedaan, pola hubungan, serta faktor struktural yang berulang. Hasil wawancara juga dibaca bersama data observasi dan dokumen pendukung. Analisis tidak diarahkan pada generalisasi statistik, melainkan pada konsistensi pola dan penjelasan mekanisme pengembangan pendidikan–kompetensi–ketenagakerjaan–ekonomi lokal dalam konteks Kabupaten Puncak.</w:t>
      </w:r>
    </w:p>
    <w:p w:rsidR="00713BB2" w14:paraId="2547B8E6" w14:textId="77777777">
      <w:pPr>
        <w:keepNext/>
        <w:spacing w:before="100" w:after="40" w:line="240" w:lineRule="auto"/>
      </w:pPr>
      <w:r>
        <w:rPr>
          <w:rFonts w:ascii="Arial" w:eastAsia="Arial" w:hAnsi="Arial"/>
          <w:b/>
          <w:sz w:val="20"/>
        </w:rPr>
        <w:t>Ⅲ. HASIL DAN PEMBAHASAN</w:t>
      </w:r>
    </w:p>
    <w:p w:rsidR="00713BB2" w14:paraId="4B8D0EDE" w14:textId="77777777">
      <w:pPr>
        <w:keepNext/>
        <w:spacing w:before="60" w:after="20" w:line="240" w:lineRule="auto"/>
      </w:pPr>
      <w:r>
        <w:rPr>
          <w:rFonts w:ascii="Arial" w:eastAsia="Arial" w:hAnsi="Arial"/>
          <w:b/>
          <w:sz w:val="20"/>
        </w:rPr>
        <w:t>3.1 Kondisi Pengembangan Pendidikan OAP</w:t>
      </w:r>
    </w:p>
    <w:p w:rsidR="00713BB2" w14:paraId="7D804724" w14:textId="77777777">
      <w:pPr>
        <w:spacing w:after="0" w:line="240" w:lineRule="auto"/>
        <w:ind w:firstLine="850"/>
        <w:jc w:val="both"/>
      </w:pPr>
      <w:r>
        <w:rPr>
          <w:rFonts w:ascii="Arial" w:eastAsia="Arial" w:hAnsi="Arial"/>
          <w:sz w:val="20"/>
        </w:rPr>
        <w:t>Hasil penelitian menunjukkan bahwa pengembangan pendidikan OAP telah memperoleh perhatian pemerintah daerah, tetapi belum optimal dari sisi pemerataan akses, sarana, tenaga pendidik, dan keberlanjutan pendidikan. Seluruh informan menempatkan kondisi geografis sebagai hambatan yang paling konsisten. Wilayah pedalaman dan pegunungan yang sulit dijangkau membuat jarak sekolah, transportasi, distribusi fasilitas, dan penempatan guru menjadi persoalan yang saling berkaitan. Seorang informan dari Sekretariat Daerah menggambarkan bahwa keterbatasan paling serius terjadi pada akses pendidikan di wilayah pedalaman dan pegunungan.</w:t>
      </w:r>
    </w:p>
    <w:p w:rsidR="00713BB2" w14:paraId="3D3630E1" w14:textId="77777777">
      <w:pPr>
        <w:spacing w:after="0" w:line="240" w:lineRule="auto"/>
        <w:ind w:firstLine="850"/>
        <w:jc w:val="both"/>
      </w:pPr>
      <w:r>
        <w:rPr>
          <w:rFonts w:ascii="Arial" w:eastAsia="Arial" w:hAnsi="Arial"/>
          <w:sz w:val="20"/>
        </w:rPr>
        <w:t>Partisipasi sekolah menunjukkan pola yang penting: pendidikan dasar relatif lebih terjangkau, tetapi keberlanjutan pada SMP dan SMA cenderung menurun. Jarak, biaya, akses transportasi, dan keterbatasan fasilitas menjadi faktor yang mendorong terputusnya keberlanjutan pendidikan. Pada beberapa wilayah, ketersediaan ruang belajar, asrama siswa, dan fasilitas penunjang belum memadai. Kekurangan guru dan distribusi tenaga pendidik juga menyebabkan kualitas dan kontinuitas pelayanan pendidikan tidak merata.</w:t>
      </w:r>
    </w:p>
    <w:p w:rsidR="00713BB2" w14:paraId="62FE0ADE" w14:textId="77777777">
      <w:pPr>
        <w:spacing w:after="0" w:line="240" w:lineRule="auto"/>
        <w:ind w:firstLine="850"/>
        <w:jc w:val="both"/>
      </w:pPr>
      <w:r>
        <w:rPr>
          <w:rFonts w:ascii="Arial" w:eastAsia="Arial" w:hAnsi="Arial"/>
          <w:sz w:val="20"/>
        </w:rPr>
        <w:t>Dari sisi intervensi, pemerintah daerah telah menjalankan beasiswa OAP, pembangunan dan rehabilitasi sekolah, bantuan operasional pendidikan, penempatan guru di distrik terpencil, serta peningkatan kesejahteraan tenaga pendidik. Kebijakan afirmasi dan Dana Otonomi Khusus memberi landasan pembiayaan yang kuat. Namun, temuan memperlihatkan bahwa persoalan utama bukan ketiadaan program, melainkan daya jangkau program terhadap masyarakat yang tinggal jauh dari pusat pelayanan. Artinya, efektivitas kebijakan pendidikan sangat ditentukan oleh kemampuan pemerintah mengatasi biaya geografis dan memastikan keberlanjutan pelayanan.</w:t>
      </w:r>
    </w:p>
    <w:p w:rsidR="00713BB2" w14:paraId="46F3CC67" w14:textId="77777777">
      <w:pPr>
        <w:spacing w:after="0" w:line="240" w:lineRule="auto"/>
        <w:ind w:firstLine="850"/>
        <w:jc w:val="both"/>
      </w:pPr>
      <w:r>
        <w:rPr>
          <w:rFonts w:ascii="Arial" w:eastAsia="Arial" w:hAnsi="Arial"/>
          <w:sz w:val="20"/>
        </w:rPr>
        <w:t>Dalam perspektif modal manusia, rendahnya keberlanjutan pendidikan hingga jenjang menengah memiliki konsekuensi lebih luas daripada sekadar capaian sekolah. Pendidikan yang terputus membatasi pembentukan pengetahuan, keterampilan teknis, literasi, dan kesiapan memasuki pelatihan atau pekerjaan formal. Temuan ini konsisten dengan gagasan bahwa investasi pendidikan meningkatkan produktivitas dan kapasitas kerja (Schultz, 1961; Becker, 1993). Karena itu, pemerataan pendidikan OAP harus ditempatkan sebagai investasi ekonomi jangka panjang, bukan hanya sebagai agenda pelayanan sosial.</w:t>
      </w:r>
    </w:p>
    <w:p w:rsidR="00713BB2" w14:paraId="11F55886" w14:textId="77777777">
      <w:pPr>
        <w:keepNext/>
        <w:spacing w:before="60" w:after="20" w:line="240" w:lineRule="auto"/>
      </w:pPr>
      <w:r>
        <w:rPr>
          <w:rFonts w:ascii="Arial" w:eastAsia="Arial" w:hAnsi="Arial"/>
          <w:b/>
          <w:sz w:val="20"/>
        </w:rPr>
        <w:t>3.2 Kondisi Pengembangan Ketenagakerjaan OAP</w:t>
      </w:r>
    </w:p>
    <w:p w:rsidR="00713BB2" w14:paraId="0C51BCA3" w14:textId="77777777">
      <w:pPr>
        <w:spacing w:after="0" w:line="240" w:lineRule="auto"/>
        <w:ind w:firstLine="850"/>
        <w:jc w:val="both"/>
      </w:pPr>
      <w:r>
        <w:rPr>
          <w:rFonts w:ascii="Arial" w:eastAsia="Arial" w:hAnsi="Arial"/>
          <w:sz w:val="20"/>
        </w:rPr>
        <w:t>Struktur ketenagakerjaan OAP di Kabupaten Puncak masih didominasi sektor informal dan ekonomi lokal. Informan secara konsisten menyebut pertanian tradisional, tanaman pangan dan hortikultura, perdagangan kecil, kios, UMKM, dan usaha rumah tangga sebagai sumber mata pencaharian utama. Informan dari sektor pertanian menegaskan bahwa mayoritas OAP bekerja pada pertanian tradisional yang masih bersifat subsisten. Temuan ini menunjukkan bahwa strategi ketenagakerjaan harus bertolak dari struktur ekonomi yang benar-benar menopang kehidupan masyarakat, bukan hanya dari target penyerapan tenaga kerja formal.</w:t>
      </w:r>
    </w:p>
    <w:p w:rsidR="00713BB2" w14:paraId="36BE7648" w14:textId="77777777">
      <w:pPr>
        <w:spacing w:after="0" w:line="240" w:lineRule="auto"/>
        <w:ind w:firstLine="850"/>
        <w:jc w:val="both"/>
      </w:pPr>
      <w:r>
        <w:rPr>
          <w:rFonts w:ascii="Arial" w:eastAsia="Arial" w:hAnsi="Arial"/>
          <w:sz w:val="20"/>
        </w:rPr>
        <w:t>Keterlibatan OAP pada sektor formal, termasuk pemerintahan dan swasta, masih terbatas. Hambatan utama adalah tingkat pendidikan, kompetensi, keterampilan kerja, dan akses informasi pekerjaan. Secara umum, informan memandang bahwa semakin tinggi pendidikan dan keterampilan seseorang, semakin besar peluang untuk memasuki pekerjaan formal. Dengan demikian, persoalan ketenagakerjaan formal berkaitan langsung dengan kualitas proses pendidikan sebelumnya serta akses terhadap pelatihan yang relevan.</w:t>
      </w:r>
    </w:p>
    <w:p w:rsidR="00713BB2" w14:paraId="43CC836B" w14:textId="77777777">
      <w:pPr>
        <w:spacing w:after="0" w:line="240" w:lineRule="auto"/>
        <w:ind w:firstLine="850"/>
        <w:jc w:val="both"/>
      </w:pPr>
      <w:r>
        <w:rPr>
          <w:rFonts w:ascii="Arial" w:eastAsia="Arial" w:hAnsi="Arial"/>
          <w:sz w:val="20"/>
        </w:rPr>
        <w:t>Pemerintah telah melaksanakan pelatihan kerja, pelatihan pertanian, program pemberdayaan UMKM, dan bantuan usaha. Namun, jangkauan dan keberlanjutan program belum merata. Pada sektor UMKM, bantuan modal atau bantuan usaha saja belum cukup karena pelaku usaha juga memerlukan kemampuan manajemen, teknologi, pendampingan, dan akses pasar. Pada sektor pertanian, peningkatan produktivitas membutuhkan perubahan dari pola subsisten menuju kegiatan yang lebih produktif melalui pelatihan teknis, teknologi tepat guna, dukungan distribusi, dan akses pasar.</w:t>
      </w:r>
    </w:p>
    <w:p w:rsidR="00713BB2" w14:paraId="17DA82DB" w14:textId="77777777">
      <w:pPr>
        <w:spacing w:after="0" w:line="240" w:lineRule="auto"/>
        <w:ind w:firstLine="850"/>
        <w:jc w:val="both"/>
      </w:pPr>
      <w:r>
        <w:rPr>
          <w:rFonts w:ascii="Arial" w:eastAsia="Arial" w:hAnsi="Arial"/>
          <w:sz w:val="20"/>
        </w:rPr>
        <w:t>Temuan tersebut memperlihatkan dua jalur pengembangan ketenagakerjaan yang sama penting. Jalur pertama adalah pekerjaan formal yang membutuhkan kompetensi, informasi kerja, dan kesempatan afirmatif. Jalur kedua adalah ekonomi lokal—pertanian, hortikultura, UMKM, dan perdagangan—yang membutuhkan teknologi, modal, pendampingan, dan pasar. Pendekatan dua jalur ini lebih sesuai dengan karakter Kabupaten Puncak karena mengakui bahwa peningkatan kesejahteraan OAP dapat dicapai melalui kombinasi pekerjaan formal dan penguatan produktivitas usaha lokal.</w:t>
      </w:r>
    </w:p>
    <w:p w:rsidR="00713BB2" w14:paraId="34DABD03" w14:textId="77777777">
      <w:pPr>
        <w:keepNext/>
        <w:spacing w:before="60" w:after="20" w:line="240" w:lineRule="auto"/>
      </w:pPr>
      <w:r>
        <w:rPr>
          <w:rFonts w:ascii="Arial" w:eastAsia="Arial" w:hAnsi="Arial"/>
          <w:b/>
          <w:sz w:val="20"/>
        </w:rPr>
        <w:t>3.3 Faktor Pendukung dan Penghambat</w:t>
      </w:r>
    </w:p>
    <w:p w:rsidR="00713BB2" w14:paraId="4691F16F" w14:textId="77777777">
      <w:pPr>
        <w:spacing w:after="0" w:line="240" w:lineRule="auto"/>
        <w:ind w:firstLine="850"/>
        <w:jc w:val="both"/>
      </w:pPr>
      <w:r>
        <w:rPr>
          <w:rFonts w:ascii="Arial" w:eastAsia="Arial" w:hAnsi="Arial"/>
          <w:sz w:val="20"/>
        </w:rPr>
        <w:t xml:space="preserve">Faktor pendukung utama adalah kebijakan Otonomi Khusus dan afirmasi OAP. Dukungan tersebut memberi legitimasi sekaligus ruang pembiayaan bagi beasiswa, pembangunan fasilitas </w:t>
      </w:r>
      <w:r>
        <w:rPr>
          <w:rFonts w:ascii="Arial" w:eastAsia="Arial" w:hAnsi="Arial"/>
          <w:sz w:val="20"/>
        </w:rPr>
        <w:t>pendidikan, peningkatan kesejahteraan guru, pelatihan kerja, pemberdayaan UMKM, dan peluang afirmatif pada sektor formal. Para informan juga menilai komitmen pemerintah daerah sebagai faktor penting karena efektivitas program sangat bergantung pada perencanaan, koordinasi lintas perangkat daerah, dan konsistensi implementasi.</w:t>
      </w:r>
    </w:p>
    <w:p w:rsidR="00713BB2" w14:paraId="67E804E4" w14:textId="77777777">
      <w:pPr>
        <w:spacing w:after="0" w:line="240" w:lineRule="auto"/>
        <w:ind w:firstLine="850"/>
        <w:jc w:val="both"/>
      </w:pPr>
      <w:r>
        <w:rPr>
          <w:rFonts w:ascii="Arial" w:eastAsia="Arial" w:hAnsi="Arial"/>
          <w:sz w:val="20"/>
        </w:rPr>
        <w:t>Selain pemerintah, lembaga sosial, gereja, dan lembaga adat berperan dalam pendampingan pendidikan, pembinaan moral, dan dukungan sosial. Peran tersebut relevan terutama pada wilayah yang jauh dari pusat layanan pemerintah. Di bidang ekonomi, potensi sumber daya lokal—khususnya pertanian, tanaman pangan, hortikultura, dan UMKM—merupakan modal penting untuk membangun kesempatan kerja yang lebih sesuai dengan kondisi masyarakat. Potensi lokal menjadi strategis ketika dikombinasikan dengan keterampilan, teknologi, modal, pendampingan, dan akses pasar.</w:t>
      </w:r>
    </w:p>
    <w:p w:rsidR="00713BB2" w14:paraId="4B10894D" w14:textId="77777777">
      <w:pPr>
        <w:spacing w:after="0" w:line="240" w:lineRule="auto"/>
        <w:ind w:firstLine="850"/>
        <w:jc w:val="both"/>
      </w:pPr>
      <w:r>
        <w:rPr>
          <w:rFonts w:ascii="Arial" w:eastAsia="Arial" w:hAnsi="Arial"/>
          <w:sz w:val="20"/>
        </w:rPr>
        <w:t>Sebaliknya, hambatan pendidikan dan ketenagakerjaan saling memperkuat. Kondisi geografis membatasi akses sekolah, distribusi guru, pelatihan, jaringan komunikasi, dan akses pasar. Keterbatasan infrastruktur pendidikan menurunkan keberlanjutan sekolah; keterbatasan infrastruktur ekonomi memperlambat distribusi dan perkembangan usaha. Kekurangan guru memperlemah pembentukan kompetensi, sementara rendahnya kompetensi membatasi akses pekerjaan formal dan kemampuan mengembangkan usaha secara lebih produktif.</w:t>
      </w:r>
    </w:p>
    <w:p w:rsidR="00713BB2" w14:paraId="54702D15" w14:textId="77777777">
      <w:pPr>
        <w:spacing w:after="0" w:line="240" w:lineRule="auto"/>
        <w:ind w:firstLine="850"/>
        <w:jc w:val="both"/>
      </w:pPr>
      <w:r>
        <w:rPr>
          <w:rFonts w:ascii="Arial" w:eastAsia="Arial" w:hAnsi="Arial"/>
          <w:sz w:val="20"/>
        </w:rPr>
        <w:t>Hambatan ketenagakerjaan juga mencakup keterbatasan modal, teknologi, informasi pekerjaan, literasi ekonomi, pendampingan, dan pasar. Hubungan ini membentuk efek berantai: keterbatasan akses pendidikan dan infrastruktur menyebabkan partisipasi pendidikan menengah belum optimal; kondisi tersebut membatasi kompetensi dan keterampilan; keterampilan yang terbatas menurunkan akses ke pekerjaan formal dan produktivitas usaha; akibatnya ketergantungan pada ekonomi subsisten tetap tinggi. Dengan kata lain, hambatan pendidikan dan ekonomi tidak dapat ditangani secara sektoral.</w:t>
      </w:r>
    </w:p>
    <w:p w:rsidR="00713BB2" w14:paraId="6E7E5DDC" w14:textId="77777777">
      <w:pPr>
        <w:spacing w:after="0" w:line="240" w:lineRule="auto"/>
        <w:ind w:firstLine="850"/>
        <w:jc w:val="both"/>
      </w:pPr>
      <w:r>
        <w:rPr>
          <w:rFonts w:ascii="Arial" w:eastAsia="Arial" w:hAnsi="Arial"/>
          <w:sz w:val="20"/>
        </w:rPr>
        <w:t>Temuan ini menegaskan perlunya koordinasi antara pendidikan, ketenagakerjaan, pertanian, koperasi dan UMKM, sosial, infrastruktur, serta perekonomian daerah. Penguatan pendidikan tanpa jalur transisi ke keterampilan dan pekerjaan berisiko menghasilkan manfaat ekonomi yang terbatas. Sebaliknya, program pelatihan atau bantuan usaha tanpa fondasi pendidikan, akses teknologi, dan pasar akan sulit menghasilkan perubahan yang berkelanjutan.</w:t>
      </w:r>
    </w:p>
    <w:p w:rsidR="00713BB2" w14:paraId="00E3BBF5" w14:textId="77777777">
      <w:pPr>
        <w:keepNext/>
        <w:spacing w:before="60" w:after="20" w:line="240" w:lineRule="auto"/>
      </w:pPr>
      <w:r>
        <w:rPr>
          <w:rFonts w:ascii="Arial" w:eastAsia="Arial" w:hAnsi="Arial"/>
          <w:b/>
          <w:sz w:val="20"/>
        </w:rPr>
        <w:t>3.4 Kontribusi Pendidikan dan Ketenagakerjaan terhadap Penguatan Ekonomi</w:t>
      </w:r>
    </w:p>
    <w:p w:rsidR="00713BB2" w14:paraId="3BAE6339" w14:textId="77777777">
      <w:pPr>
        <w:spacing w:after="0" w:line="240" w:lineRule="auto"/>
        <w:ind w:firstLine="850"/>
        <w:jc w:val="both"/>
      </w:pPr>
      <w:r>
        <w:rPr>
          <w:rFonts w:ascii="Arial" w:eastAsia="Arial" w:hAnsi="Arial"/>
          <w:sz w:val="20"/>
        </w:rPr>
        <w:t>Analisis gabungan sepuluh informan mengidentifikasi rantai kontribusi yang relatif jelas. Pemerataan akses pendidikan dan peningkatan sarana serta guru memungkinkan keberlanjutan pendidikan OAP. Pendidikan yang berkelanjutan kemudian memperkuat pengetahuan, keterampilan, sikap kerja, dan kesiapan mengikuti pendidikan vokasi atau pelatihan berbasis potensi lokal. Kompetensi yang meningkat membuka dua jalur: akses ke pekerjaan formal dan peningkatan produktivitas ekonomi lokal. Kedua jalur tersebut memperluas kesempatan kerja dan usaha, yang pada akhirnya berpotensi meningkatkan pendapatan, kemandirian ekonomi, dan kesejahteraan OAP.</w:t>
      </w:r>
    </w:p>
    <w:p w:rsidR="00713BB2" w14:paraId="2C21448C" w14:textId="77777777">
      <w:pPr>
        <w:spacing w:after="0" w:line="240" w:lineRule="auto"/>
        <w:ind w:firstLine="850"/>
        <w:jc w:val="both"/>
      </w:pPr>
      <w:r>
        <w:rPr>
          <w:rFonts w:ascii="Arial" w:eastAsia="Arial" w:hAnsi="Arial"/>
          <w:sz w:val="20"/>
        </w:rPr>
        <w:t>Dalam kerangka pertumbuhan ekonomi daerah, kontribusi tersebut bekerja melalui penguatan kapasitas produksi masyarakat. Tenaga kerja yang lebih terdidik dan terampil memiliki peluang lebih besar untuk menghasilkan output, mengadopsi teknologi, mengelola usaha, dan berpartisipasi pada sektor formal. Pada jalur ekonomi lokal, modernisasi pertanian dan penguatan UMKM dapat meningkatkan produktivitas, memperluas transaksi, dan mengurangi ketergantungan pada pola subsisten. Proses ini sejalan dengan teori modal manusia yang menempatkan pendidikan dan keterampilan sebagai sumber peningkatan produktivitas (Becker, 1993; Todaro &amp; Smith, 2015).</w:t>
      </w:r>
    </w:p>
    <w:p w:rsidR="00713BB2" w14:paraId="134F6EB4" w14:textId="77777777">
      <w:pPr>
        <w:spacing w:after="0" w:line="240" w:lineRule="auto"/>
        <w:ind w:firstLine="850"/>
        <w:jc w:val="both"/>
      </w:pPr>
      <w:r>
        <w:rPr>
          <w:rFonts w:ascii="Arial" w:eastAsia="Arial" w:hAnsi="Arial"/>
          <w:sz w:val="20"/>
        </w:rPr>
        <w:t>Namun, penelitian ini tidak mengestimasi koefisien pengaruh pendidikan atau ketenagakerjaan terhadap PDRB. Karena desainnya kualitatif, istilah “kontribusi” dalam artikel ini merujuk pada mekanisme dan jalur penguatan ekonomi yang teridentifikasi dari pengalaman informan dan dokumen pendukung, bukan pada besaran efek kausal yang terukur. Penegasan ini penting agar interpretasi hasil tetap konsisten dengan desain penelitian.</w:t>
      </w:r>
    </w:p>
    <w:p w:rsidR="00713BB2" w14:paraId="69569993" w14:textId="77777777">
      <w:pPr>
        <w:spacing w:after="0" w:line="240" w:lineRule="auto"/>
        <w:ind w:firstLine="850"/>
        <w:jc w:val="both"/>
      </w:pPr>
      <w:r>
        <w:rPr>
          <w:rFonts w:ascii="Arial" w:eastAsia="Arial" w:hAnsi="Arial"/>
          <w:sz w:val="20"/>
        </w:rPr>
        <w:t>Model integratif hasil penelitian menempatkan kebijakan afirmasi OAP dan Dana Otonomi Khusus sebagai faktor pemungkin yang harus diterjemahkan ke dalam pemerataan akses pendidikan, peningkatan sarana dan guru, keberlanjutan sekolah, pendidikan vokasi, serta pelatihan berbasis potensi lokal. Setelah kompetensi meningkat, pengembangan diarahkan pada dua jalur yang saling melengkapi: jalur formal melalui kompetensi, informasi kerja, dan kesempatan kerja formal; serta jalur ekonomi lokal melalui pertanian/hortikultura, UMKM, teknologi, modal, pendampingan, dan pasar.</w:t>
      </w:r>
    </w:p>
    <w:p w:rsidR="00713BB2" w14:paraId="3A4E805B" w14:textId="77777777">
      <w:pPr>
        <w:spacing w:before="80" w:after="20"/>
        <w:jc w:val="center"/>
      </w:pPr>
      <w:r>
        <w:rPr>
          <w:noProof/>
        </w:rPr>
        <w:drawing>
          <wp:inline distT="0" distB="0" distL="0" distR="0">
            <wp:extent cx="4754880" cy="7132320"/>
            <wp:effectExtent l="0" t="0" r="0" b="0"/>
            <wp:docPr id="1491302424" name="Picture 1491302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4" name="image4.png"/>
                    <pic:cNvPicPr/>
                  </pic:nvPicPr>
                  <pic:blipFill>
                    <a:blip xmlns:r="http://schemas.openxmlformats.org/officeDocument/2006/relationships" r:embed="rId7"/>
                    <a:stretch>
                      <a:fillRect/>
                    </a:stretch>
                  </pic:blipFill>
                  <pic:spPr>
                    <a:xfrm>
                      <a:off x="0" y="0"/>
                      <a:ext cx="4754880" cy="7132320"/>
                    </a:xfrm>
                    <a:prstGeom prst="rect">
                      <a:avLst/>
                    </a:prstGeom>
                  </pic:spPr>
                </pic:pic>
              </a:graphicData>
            </a:graphic>
          </wp:inline>
        </w:drawing>
      </w:r>
    </w:p>
    <w:p w:rsidR="00713BB2" w14:paraId="709F08BC" w14:textId="77777777">
      <w:pPr>
        <w:spacing w:after="60"/>
        <w:jc w:val="center"/>
      </w:pPr>
      <w:r>
        <w:rPr>
          <w:rFonts w:ascii="Arial" w:eastAsia="Arial" w:hAnsi="Arial"/>
          <w:i/>
          <w:sz w:val="18"/>
        </w:rPr>
        <w:t>Gambar 1. Model integratif pengembangan pendidikan, kompetensi, dan dua jalur ketenagakerjaan OAP di Kabupaten Puncak</w:t>
      </w:r>
    </w:p>
    <w:p w:rsidR="00713BB2" w14:paraId="201F00CC" w14:textId="77777777">
      <w:pPr>
        <w:keepNext/>
        <w:spacing w:before="60" w:after="20" w:line="240" w:lineRule="auto"/>
      </w:pPr>
      <w:r>
        <w:rPr>
          <w:rFonts w:ascii="Arial" w:eastAsia="Arial" w:hAnsi="Arial"/>
          <w:b/>
          <w:sz w:val="20"/>
        </w:rPr>
        <w:t>3.5 Implikasi Kebijakan dan Kebaruan Penelitian</w:t>
      </w:r>
    </w:p>
    <w:p w:rsidR="00713BB2" w14:paraId="606E462F" w14:textId="77777777">
      <w:pPr>
        <w:spacing w:after="0" w:line="240" w:lineRule="auto"/>
        <w:ind w:firstLine="850"/>
        <w:jc w:val="both"/>
      </w:pPr>
      <w:r>
        <w:rPr>
          <w:rFonts w:ascii="Arial" w:eastAsia="Arial" w:hAnsi="Arial"/>
          <w:sz w:val="20"/>
        </w:rPr>
        <w:t>Implikasi kebijakan pertama adalah perlunya pergeseran dari program yang terpisah menuju ekosistem pengembangan SDM. Dana Otonomi Khusus dan program afirmasi perlu dirancang sebagai rangkaian yang memiliki jalur transisi yang jelas: akses pendidikan → keberlanjutan pendidikan → kompetensi → pelatihan/vokasi → pekerjaan atau usaha → peningkatan pendapatan. Dengan cara ini, indikator keberhasilan tidak berhenti pada jumlah beasiswa, sekolah, pelatihan, atau bantuan usaha, tetapi juga menilai keberlanjutan pendidikan, penggunaan keterampilan, produktivitas, dan kemandirian ekonomi.</w:t>
      </w:r>
    </w:p>
    <w:p w:rsidR="00713BB2" w14:paraId="01875C22" w14:textId="77777777">
      <w:pPr>
        <w:spacing w:after="0" w:line="240" w:lineRule="auto"/>
        <w:ind w:firstLine="850"/>
        <w:jc w:val="both"/>
      </w:pPr>
      <w:r>
        <w:rPr>
          <w:rFonts w:ascii="Arial" w:eastAsia="Arial" w:hAnsi="Arial"/>
          <w:sz w:val="20"/>
        </w:rPr>
        <w:t>Kedua, kebijakan harus adaptif terhadap karakter geografis. Pemerataan pendidikan membutuhkan strategi khusus untuk wilayah terpencil, termasuk penguatan fasilitas, asrama siswa, insentif guru, dukungan transportasi, dan pelayanan pendidikan yang lebih dekat dengan permukiman masyarakat. Pada sisi ketenagakerjaan, pelatihan dan pendampingan perlu dibawa lebih dekat ke distrik serta dikaitkan dengan komoditas dan kegiatan ekonomi yang benar-benar tersedia. Teknologi, modal, dan pasar harus diposisikan sebagai bagian dari sistem pemberdayaan, bukan sebagai program tambahan yang berdiri sendiri.</w:t>
      </w:r>
    </w:p>
    <w:p w:rsidR="00713BB2" w14:paraId="40E63CC6" w14:textId="77777777">
      <w:pPr>
        <w:spacing w:after="0" w:line="240" w:lineRule="auto"/>
        <w:ind w:firstLine="850"/>
        <w:jc w:val="both"/>
      </w:pPr>
      <w:r>
        <w:rPr>
          <w:rFonts w:ascii="Arial" w:eastAsia="Arial" w:hAnsi="Arial"/>
          <w:sz w:val="20"/>
        </w:rPr>
        <w:t>Ketiga, kebaruan penelitian ini bersifat empiris, kontekstual, dan integratif. Secara empiris, penelitian memperlihatkan konsistensi pola dari informan lintas sektor pemerintahan. Secara kontekstual, penelitian menunjukkan bahwa kondisi geografis Kabupaten Puncak bukan hanya hambatan akses, tetapi faktor yang menghasilkan efek berantai terhadap pendidikan, pembentukan kompetensi, kesempatan kerja, dan ekonomi lokal. Secara integratif, penelitian menghubungkan pendidikan OAP dengan dua jalur ketenagakerjaan—formal dan ekonomi lokal—serta menempatkan kebijakan afirmasi, teknologi, modal, pendampingan, dan pasar dalam satu ekosistem pengembangan sumber daya manusia.</w:t>
      </w:r>
    </w:p>
    <w:p w:rsidR="00713BB2" w14:paraId="5BB64927" w14:textId="77777777">
      <w:pPr>
        <w:spacing w:after="0" w:line="240" w:lineRule="auto"/>
        <w:ind w:firstLine="850"/>
        <w:jc w:val="both"/>
      </w:pPr>
      <w:r>
        <w:rPr>
          <w:rFonts w:ascii="Arial" w:eastAsia="Arial" w:hAnsi="Arial"/>
          <w:sz w:val="20"/>
        </w:rPr>
        <w:t>Kerangka tersebut memperluas pembahasan pembangunan OAP dari pendekatan sektoral menuju pendekatan lintas sektor. Pendidikan menjadi fondasi pembentukan kompetensi; kompetensi menjadi jembatan menuju pekerjaan formal atau produktivitas ekonomi lokal; sedangkan dukungan kebijakan dan infrastruktur menentukan apakah proses tersebut dapat berlangsung secara merata. Dengan demikian, peningkatan kesejahteraan OAP membutuhkan kebijakan yang secara simultan memperkuat manusia, institusi, dan lingkungan ekonomi tempat kompetensi tersebut digunakan.</w:t>
      </w:r>
    </w:p>
    <w:p w:rsidR="00713BB2" w14:paraId="7B213E92" w14:textId="77777777">
      <w:pPr>
        <w:keepNext/>
        <w:spacing w:before="100" w:after="40" w:line="240" w:lineRule="auto"/>
      </w:pPr>
      <w:r>
        <w:rPr>
          <w:rFonts w:ascii="Arial" w:eastAsia="Arial" w:hAnsi="Arial"/>
          <w:b/>
          <w:sz w:val="20"/>
        </w:rPr>
        <w:t>Ⅳ. KESIMPULAN</w:t>
      </w:r>
    </w:p>
    <w:p w:rsidR="00713BB2" w14:paraId="456A6C56" w14:textId="77777777">
      <w:pPr>
        <w:spacing w:after="0" w:line="240" w:lineRule="auto"/>
        <w:ind w:firstLine="850"/>
        <w:jc w:val="both"/>
      </w:pPr>
      <w:r>
        <w:rPr>
          <w:rFonts w:ascii="Arial" w:eastAsia="Arial" w:hAnsi="Arial"/>
          <w:sz w:val="20"/>
        </w:rPr>
        <w:t>Pengembangan pendidikan OAP di Kabupaten Puncak telah didukung beasiswa, pembangunan fasilitas, bantuan pendidikan, kebijakan afirmasi, dan peningkatan dukungan terhadap tenaga pendidik, tetapi hasilnya belum optimal karena akses geografis, keterbatasan sarana, kekurangan dan ketidakmerataan guru, serta menurunnya keberlanjutan pendidikan pada jenjang menengah. Kondisi ini berimplikasi pada pembentukan kompetensi dan kesiapan kerja OAP.</w:t>
      </w:r>
    </w:p>
    <w:p w:rsidR="00713BB2" w14:paraId="1ECAFE7A" w14:textId="77777777">
      <w:pPr>
        <w:spacing w:after="0" w:line="240" w:lineRule="auto"/>
        <w:ind w:firstLine="850"/>
        <w:jc w:val="both"/>
      </w:pPr>
      <w:r>
        <w:rPr>
          <w:rFonts w:ascii="Arial" w:eastAsia="Arial" w:hAnsi="Arial"/>
          <w:sz w:val="20"/>
        </w:rPr>
        <w:t>Ketenagakerjaan OAP masih didominasi pertanian tradisional, UMKM, perdagangan kecil, dan usaha rumah tangga. Keterlibatan pada sektor formal masih rendah karena keterbatasan pendidikan, keterampilan, informasi kerja, dan peluang yang dapat diakses. Pada ekonomi lokal, produktivitas juga dibatasi oleh modal, teknologi, pendampingan, dan akses pasar. Faktor pendukung berupa Otonomi Khusus, afirmasi, komitmen pemerintah daerah, dukungan sosial-keagamaan, serta potensi pertanian dan UMKM belum sepenuhnya mengatasi hambatan struktural tersebut.</w:t>
      </w:r>
    </w:p>
    <w:p w:rsidR="00713BB2" w14:paraId="6C9162FD" w14:textId="77777777">
      <w:pPr>
        <w:spacing w:after="0" w:line="240" w:lineRule="auto"/>
        <w:ind w:firstLine="850"/>
        <w:jc w:val="both"/>
      </w:pPr>
      <w:r>
        <w:rPr>
          <w:rFonts w:ascii="Arial" w:eastAsia="Arial" w:hAnsi="Arial"/>
          <w:sz w:val="20"/>
        </w:rPr>
        <w:t>Kontribusi utama penelitian adalah model integratif yang menghubungkan pemerataan pendidikan, pembentukan kompetensi, dan dua jalur ketenagakerjaan—formal dan ekonomi lokal—menuju peningkatan kesempatan kerja/usaha, pendapatan, kemandirian, dan kesejahteraan OAP. Pemerintah Kabupaten Puncak perlu memprioritaskan integrasi kebijakan pendidikan, vokasi dan pelatihan, modernisasi pertanian, pengembangan UMKM, akses modal dan pasar, pembangunan infrastruktur, serta penguatan implementasi afirmasi. Penelitian berikutnya disarankan menguji model ini secara komparatif dan kuantitatif agar besaran kontribusi pendidikan dan ketenagakerjaan terhadap indikator ekonomi daerah dapat diestimasi secara lebih terukur.</w:t>
      </w:r>
    </w:p>
    <w:p w:rsidR="00713BB2" w14:paraId="208F677E" w14:textId="77777777">
      <w:pPr>
        <w:keepNext/>
        <w:spacing w:before="100" w:after="40" w:line="240" w:lineRule="auto"/>
      </w:pPr>
      <w:r>
        <w:rPr>
          <w:rFonts w:ascii="Arial" w:eastAsia="Arial" w:hAnsi="Arial"/>
          <w:b/>
          <w:sz w:val="20"/>
        </w:rPr>
        <w:t>DAFTAR PUSTAKA</w:t>
      </w:r>
    </w:p>
    <w:p w:rsidR="00713BB2" w:rsidP="00B45752" w14:paraId="38820FAF" w14:textId="77777777">
      <w:pPr>
        <w:spacing w:after="0" w:line="240" w:lineRule="auto"/>
        <w:ind w:left="720" w:hanging="720"/>
        <w:jc w:val="both"/>
      </w:pPr>
      <w:r>
        <w:rPr>
          <w:rFonts w:ascii="Arial" w:eastAsia="Arial" w:hAnsi="Arial"/>
          <w:sz w:val="19"/>
        </w:rPr>
        <w:t>Badan Pusat Statistik Kabupaten Puncak. (2024). Kabupaten Puncak dalam angka 2024. BPS Kabupaten Puncak.</w:t>
      </w:r>
    </w:p>
    <w:p w:rsidR="00713BB2" w:rsidP="00B45752" w14:paraId="70A08E47" w14:textId="77777777">
      <w:pPr>
        <w:spacing w:after="0" w:line="240" w:lineRule="auto"/>
        <w:ind w:left="720" w:hanging="720"/>
        <w:jc w:val="both"/>
      </w:pPr>
      <w:r>
        <w:rPr>
          <w:rFonts w:ascii="Arial" w:eastAsia="Arial" w:hAnsi="Arial"/>
          <w:sz w:val="19"/>
        </w:rPr>
        <w:t>Bastianingrum, N. (2024). Pengaruh IPM dan pendidikan terhadap pertumbuhan ekonomi kabupaten/kota di Provinsi Banten. Jurnal Ekonomi Pembangunan, 19(1), 45–58.</w:t>
      </w:r>
    </w:p>
    <w:p w:rsidR="00713BB2" w:rsidP="00B45752" w14:paraId="5A7F3499" w14:textId="77777777">
      <w:pPr>
        <w:spacing w:after="0" w:line="240" w:lineRule="auto"/>
        <w:ind w:left="720" w:hanging="720"/>
        <w:jc w:val="both"/>
      </w:pPr>
      <w:r>
        <w:rPr>
          <w:rFonts w:ascii="Arial" w:eastAsia="Arial" w:hAnsi="Arial"/>
          <w:sz w:val="19"/>
        </w:rPr>
        <w:t>Becker, G. S. (1993). Human capital: A theoretical and empirical analysis with special reference to education (3rd ed.). University of Chicago Press.</w:t>
      </w:r>
    </w:p>
    <w:p w:rsidR="00713BB2" w:rsidP="00B45752" w14:paraId="5D11C6B2" w14:textId="77777777">
      <w:pPr>
        <w:spacing w:after="0" w:line="240" w:lineRule="auto"/>
        <w:ind w:left="720" w:hanging="720"/>
        <w:jc w:val="both"/>
      </w:pPr>
      <w:r>
        <w:rPr>
          <w:rFonts w:ascii="Arial" w:eastAsia="Arial" w:hAnsi="Arial"/>
          <w:sz w:val="19"/>
        </w:rPr>
        <w:t>Miles, M. B., Huberman, A. M., &amp; Saldaña, J. (2014). Qualitative data analysis: A methods sourcebook (3rd ed.). SAGE.</w:t>
      </w:r>
    </w:p>
    <w:p w:rsidR="00713BB2" w:rsidP="00B45752" w14:paraId="0E0070D6" w14:textId="77777777">
      <w:pPr>
        <w:spacing w:after="0" w:line="240" w:lineRule="auto"/>
        <w:ind w:left="720" w:hanging="720"/>
        <w:jc w:val="both"/>
      </w:pPr>
      <w:r>
        <w:rPr>
          <w:rFonts w:ascii="Arial" w:eastAsia="Arial" w:hAnsi="Arial"/>
          <w:sz w:val="19"/>
        </w:rPr>
        <w:t>Palinkas, L. A., Horwitz, S. M., Green, C. A., Wisdom, J. P., Duan, N., &amp; Hoagwood, K. (2015). Purposeful sampling for qualitative data collection and analysis in mixed method implementation research. Administration and Policy in Mental Health and Mental Health Services Research, 42(5), 533–544. https://doi.org/10.1007/s10488-013-0528-y</w:t>
      </w:r>
    </w:p>
    <w:p w:rsidR="00713BB2" w:rsidP="00B45752" w14:paraId="41F570DF" w14:textId="77777777">
      <w:pPr>
        <w:spacing w:after="0" w:line="240" w:lineRule="auto"/>
        <w:ind w:left="720" w:hanging="720"/>
        <w:jc w:val="both"/>
      </w:pPr>
      <w:r>
        <w:rPr>
          <w:rFonts w:ascii="Arial" w:eastAsia="Arial" w:hAnsi="Arial"/>
          <w:sz w:val="19"/>
        </w:rPr>
        <w:t>Republik Indonesia. (2021a). Undang-Undang Republik Indonesia Nomor 2 Tahun 2021 tentang Perubahan Kedua atas Undang-Undang Nomor 21 Tahun 2001 tentang Otonomi Khusus bagi Provinsi Papua.</w:t>
      </w:r>
    </w:p>
    <w:p w:rsidR="00713BB2" w:rsidP="00B45752" w14:paraId="7FF7FE83" w14:textId="77777777">
      <w:pPr>
        <w:spacing w:after="0" w:line="240" w:lineRule="auto"/>
        <w:ind w:left="720" w:hanging="720"/>
        <w:jc w:val="both"/>
      </w:pPr>
      <w:r>
        <w:rPr>
          <w:rFonts w:ascii="Arial" w:eastAsia="Arial" w:hAnsi="Arial"/>
          <w:sz w:val="19"/>
        </w:rPr>
        <w:t>Republik Indonesia. (2021b). Peraturan Pemerintah Republik Indonesia Nomor 106 Tahun 2021 tentang Kewenangan dan Kelembagaan Pelaksanaan Kebijakan Otonomi Khusus Provinsi Papua.</w:t>
      </w:r>
    </w:p>
    <w:p w:rsidR="00713BB2" w:rsidP="00B45752" w14:paraId="67EBF02F" w14:textId="77777777">
      <w:pPr>
        <w:spacing w:after="0" w:line="240" w:lineRule="auto"/>
        <w:ind w:left="720" w:hanging="720"/>
        <w:jc w:val="both"/>
      </w:pPr>
      <w:r>
        <w:rPr>
          <w:rFonts w:ascii="Arial" w:eastAsia="Arial" w:hAnsi="Arial"/>
          <w:sz w:val="19"/>
        </w:rPr>
        <w:t>Republik Indonesia. (2021c). Peraturan Pemerintah Republik Indonesia Nomor 107 Tahun 2021 tentang Penerimaan, Pengelolaan, dan Penggunaan Dana Otonomi Khusus Papua.</w:t>
      </w:r>
    </w:p>
    <w:p w:rsidR="00713BB2" w:rsidP="00B45752" w14:paraId="616A1A02" w14:textId="77777777">
      <w:pPr>
        <w:spacing w:after="0" w:line="240" w:lineRule="auto"/>
        <w:ind w:left="720" w:hanging="720"/>
        <w:jc w:val="both"/>
      </w:pPr>
      <w:r>
        <w:rPr>
          <w:rFonts w:ascii="Arial" w:eastAsia="Arial" w:hAnsi="Arial"/>
          <w:sz w:val="19"/>
        </w:rPr>
        <w:t>Sandelowski, M. (2000). Whatever happened to qualitative description? Research in Nursing &amp; Health, 23(4), 334–340. https://doi.org/10.1002/1098-240X(200008)23:4&lt;334::AID-NUR9&gt;3.0.CO;2-G</w:t>
      </w:r>
    </w:p>
    <w:p w:rsidR="00713BB2" w:rsidP="00B45752" w14:paraId="3E749DE3" w14:textId="77777777">
      <w:pPr>
        <w:spacing w:after="0" w:line="240" w:lineRule="auto"/>
        <w:ind w:left="720" w:hanging="720"/>
        <w:jc w:val="both"/>
      </w:pPr>
      <w:r>
        <w:rPr>
          <w:rFonts w:ascii="Arial" w:eastAsia="Arial" w:hAnsi="Arial"/>
          <w:sz w:val="19"/>
        </w:rPr>
        <w:t>Schultz, T. W. (1961). Investment in human capital. The American Economic Review, 51(1), 1–17.</w:t>
      </w:r>
    </w:p>
    <w:p w:rsidR="00713BB2" w:rsidP="00B45752" w14:paraId="1AD9DB2B" w14:textId="77777777">
      <w:pPr>
        <w:spacing w:after="0" w:line="240" w:lineRule="auto"/>
        <w:ind w:left="720" w:hanging="720"/>
        <w:jc w:val="both"/>
      </w:pPr>
      <w:r>
        <w:rPr>
          <w:rFonts w:ascii="Arial" w:eastAsia="Arial" w:hAnsi="Arial"/>
          <w:sz w:val="19"/>
        </w:rPr>
        <w:t>Simanjuntak, P. J. (2020). Pengantar ekonomi sumber daya manusia. Lembaga Penerbit Fakultas Ekonomi Universitas Indonesia.</w:t>
      </w:r>
    </w:p>
    <w:p w:rsidR="00713BB2" w:rsidP="00B45752" w14:paraId="32B9C1F6" w14:textId="77777777">
      <w:pPr>
        <w:spacing w:after="0" w:line="240" w:lineRule="auto"/>
        <w:ind w:left="720" w:hanging="720"/>
        <w:jc w:val="both"/>
      </w:pPr>
      <w:r>
        <w:rPr>
          <w:rFonts w:ascii="Arial" w:eastAsia="Arial" w:hAnsi="Arial"/>
          <w:sz w:val="19"/>
        </w:rPr>
        <w:t>Sukirno, S. (2016). Makroekonomi teori pengantar. Rajawali Pers.</w:t>
      </w:r>
    </w:p>
    <w:p w:rsidR="00713BB2" w:rsidP="00B45752" w14:paraId="1B52BCD5" w14:textId="77777777">
      <w:pPr>
        <w:spacing w:after="0" w:line="240" w:lineRule="auto"/>
        <w:ind w:left="720" w:hanging="720"/>
        <w:jc w:val="both"/>
      </w:pPr>
      <w:r>
        <w:rPr>
          <w:rFonts w:ascii="Arial" w:eastAsia="Arial" w:hAnsi="Arial"/>
          <w:sz w:val="19"/>
        </w:rPr>
        <w:t>Todaro, M. P., &amp; Smith, S. C. (2015). Economic development (12th ed.). Pearson.</w:t>
      </w:r>
    </w:p>
    <w:p w:rsidR="00713BB2" w:rsidP="00B45752" w14:paraId="5022EF46" w14:textId="77777777">
      <w:pPr>
        <w:spacing w:after="0" w:line="240" w:lineRule="auto"/>
        <w:ind w:left="720" w:hanging="720"/>
        <w:jc w:val="both"/>
      </w:pPr>
      <w:r>
        <w:rPr>
          <w:rFonts w:ascii="Arial" w:eastAsia="Arial" w:hAnsi="Arial"/>
          <w:sz w:val="19"/>
        </w:rPr>
        <w:t>Yohana, R., et al. (2022). Kualitas sumber daya manusia dan pembangunan ekonomi di Papua. Jurnal Ekonomi dan Kebijakan Publik, 10(2), 112–125.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D3"/>
    <w:rsid w:val="000835D0"/>
    <w:rsid w:val="0018034B"/>
    <w:rsid w:val="002A7632"/>
    <w:rsid w:val="00310CA2"/>
    <w:rsid w:val="00392F9A"/>
    <w:rsid w:val="00431B58"/>
    <w:rsid w:val="00486FA4"/>
    <w:rsid w:val="004F76C1"/>
    <w:rsid w:val="0052629E"/>
    <w:rsid w:val="005C1322"/>
    <w:rsid w:val="0066103D"/>
    <w:rsid w:val="00680146"/>
    <w:rsid w:val="006B712C"/>
    <w:rsid w:val="00713BB2"/>
    <w:rsid w:val="007454A7"/>
    <w:rsid w:val="00774776"/>
    <w:rsid w:val="007F6FBB"/>
    <w:rsid w:val="008155D0"/>
    <w:rsid w:val="0095363E"/>
    <w:rsid w:val="009F4B56"/>
    <w:rsid w:val="00A72837"/>
    <w:rsid w:val="00B23C1A"/>
    <w:rsid w:val="00B45752"/>
    <w:rsid w:val="00C35A2B"/>
    <w:rsid w:val="00C448AE"/>
    <w:rsid w:val="00D16F1B"/>
    <w:rsid w:val="00D460F2"/>
    <w:rsid w:val="00DB45A2"/>
    <w:rsid w:val="00EB74D3"/>
    <w:rsid w:val="00FA7D8B"/>
    <w:rsid w:val="00FB495F"/>
    <w:rsid w:val="00FC1CAD"/>
  </w:rsids>
  <m:mathPr>
    <m:mathFont m:val="Cambria Math"/>
  </m:mathPr>
  <w:themeFontLang w:val="en-ID"/>
  <w:clrSchemeMapping w:bg1="light1" w:t1="dark1" w:bg2="light2" w:t2="dark2" w:accent1="accent1" w:accent2="accent2" w:accent3="accent3" w:accent4="accent4" w:accent5="accent5" w:accent6="accent6" w:hyperlink="hyperlink" w:followedHyperlink="followedHyperlink"/>
  <w14:docId w14:val="19560D99"/>
  <w15:chartTrackingRefBased/>
  <w15:docId w15:val="{E66B96A8-A95F-43AF-A947-CF60B605D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4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74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74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74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74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7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4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74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74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74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74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7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4D3"/>
    <w:rPr>
      <w:rFonts w:eastAsiaTheme="majorEastAsia" w:cstheme="majorBidi"/>
      <w:color w:val="272727" w:themeColor="text1" w:themeTint="D8"/>
    </w:rPr>
  </w:style>
  <w:style w:type="paragraph" w:styleId="Title">
    <w:name w:val="Title"/>
    <w:basedOn w:val="Normal"/>
    <w:next w:val="Normal"/>
    <w:link w:val="TitleChar"/>
    <w:uiPriority w:val="10"/>
    <w:qFormat/>
    <w:rsid w:val="00EB7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4D3"/>
    <w:pPr>
      <w:spacing w:before="160"/>
      <w:jc w:val="center"/>
    </w:pPr>
    <w:rPr>
      <w:i/>
      <w:iCs/>
      <w:color w:val="404040" w:themeColor="text1" w:themeTint="BF"/>
    </w:rPr>
  </w:style>
  <w:style w:type="character" w:customStyle="1" w:styleId="QuoteChar">
    <w:name w:val="Quote Char"/>
    <w:basedOn w:val="DefaultParagraphFont"/>
    <w:link w:val="Quote"/>
    <w:uiPriority w:val="29"/>
    <w:rsid w:val="00EB74D3"/>
    <w:rPr>
      <w:i/>
      <w:iCs/>
      <w:color w:val="404040" w:themeColor="text1" w:themeTint="BF"/>
    </w:rPr>
  </w:style>
  <w:style w:type="paragraph" w:styleId="ListParagraph">
    <w:name w:val="List Paragraph"/>
    <w:basedOn w:val="Normal"/>
    <w:uiPriority w:val="34"/>
    <w:qFormat/>
    <w:rsid w:val="00EB74D3"/>
    <w:pPr>
      <w:ind w:left="720"/>
      <w:contextualSpacing/>
    </w:pPr>
  </w:style>
  <w:style w:type="character" w:styleId="IntenseEmphasis">
    <w:name w:val="Intense Emphasis"/>
    <w:basedOn w:val="DefaultParagraphFont"/>
    <w:uiPriority w:val="21"/>
    <w:qFormat/>
    <w:rsid w:val="00EB74D3"/>
    <w:rPr>
      <w:i/>
      <w:iCs/>
      <w:color w:val="2F5496" w:themeColor="accent1" w:themeShade="BF"/>
    </w:rPr>
  </w:style>
  <w:style w:type="paragraph" w:styleId="IntenseQuote">
    <w:name w:val="Intense Quote"/>
    <w:basedOn w:val="Normal"/>
    <w:next w:val="Normal"/>
    <w:link w:val="IntenseQuoteChar"/>
    <w:uiPriority w:val="30"/>
    <w:qFormat/>
    <w:rsid w:val="00EB74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74D3"/>
    <w:rPr>
      <w:i/>
      <w:iCs/>
      <w:color w:val="2F5496" w:themeColor="accent1" w:themeShade="BF"/>
    </w:rPr>
  </w:style>
  <w:style w:type="character" w:styleId="IntenseReference">
    <w:name w:val="Intense Reference"/>
    <w:basedOn w:val="DefaultParagraphFont"/>
    <w:uiPriority w:val="32"/>
    <w:qFormat/>
    <w:rsid w:val="00EB74D3"/>
    <w:rPr>
      <w:b/>
      <w:bCs/>
      <w:smallCaps/>
      <w:color w:val="2F5496" w:themeColor="accent1" w:themeShade="BF"/>
      <w:spacing w:val="5"/>
    </w:rPr>
  </w:style>
  <w:style w:type="table" w:styleId="TableGrid">
    <w:name w:val="Table Grid"/>
    <w:basedOn w:val="TableNormal"/>
    <w:uiPriority w:val="39"/>
    <w:rsid w:val="00EB7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1CAD"/>
    <w:rPr>
      <w:color w:val="0563C1" w:themeColor="hyperlink"/>
      <w:u w:val="single"/>
    </w:rPr>
  </w:style>
  <w:style w:type="character" w:styleId="UnresolvedMention">
    <w:name w:val="Unresolved Mention"/>
    <w:basedOn w:val="DefaultParagraphFont"/>
    <w:uiPriority w:val="99"/>
    <w:semiHidden/>
    <w:unhideWhenUsed/>
    <w:rsid w:val="00FC1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B543-A728-4B49-B83B-E11D50CC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4256</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Kontribusi Pengembangan Pendidikan dan Ketenagakerjaan Orang Asli Papua (OAP) bagi Pertumbuhan Ekonomi Kabupaten Puncak</dc:title>
  <dc:subject>Artikel ilmiah - Manajemen Sumber Daya Manusia</dc:subject>
  <dc:creator>Yunita Wakerkwa</dc:creator>
  <cp:keywords>OAP, pendidikan, ketenagakerjaan, pertumbuhan ekonomi, Kabupaten Puncak</cp:keywords>
  <cp:lastModifiedBy>USER 1</cp:lastModifiedBy>
  <cp:revision>3</cp:revision>
  <dcterms:created xsi:type="dcterms:W3CDTF">2026-08-13T07:46:00Z</dcterms:created>
  <dcterms:modified xsi:type="dcterms:W3CDTF">2026-08-13T07:46:00Z</dcterms:modified>
</cp:coreProperties>
</file>