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2733DDC3" w:rsidR="00676A1B" w:rsidRPr="003F2074" w:rsidRDefault="003F2074" w:rsidP="003F2074">
      <w:pPr>
        <w:spacing w:after="120"/>
        <w:jc w:val="center"/>
      </w:pPr>
      <w:r w:rsidRPr="003F2074">
        <w:rPr>
          <w:rFonts w:eastAsia="Segoe UI" w:cs="Segoe UI"/>
          <w:b/>
          <w:bCs/>
          <w:sz w:val="30"/>
          <w:szCs w:val="30"/>
        </w:rPr>
        <w:t xml:space="preserve">Ketika Laporan Lebih Hijau daripada Kenyataan: Membedah </w:t>
      </w:r>
      <w:r w:rsidRPr="003F2074">
        <w:rPr>
          <w:rFonts w:eastAsia="Segoe UI" w:cs="Segoe UI"/>
          <w:b/>
          <w:bCs/>
          <w:i/>
          <w:iCs/>
          <w:sz w:val="30"/>
          <w:szCs w:val="30"/>
        </w:rPr>
        <w:t>Greenwashing</w:t>
      </w:r>
      <w:r w:rsidRPr="003F2074">
        <w:rPr>
          <w:rFonts w:eastAsia="Segoe UI" w:cs="Segoe UI"/>
          <w:b/>
          <w:bCs/>
          <w:sz w:val="30"/>
          <w:szCs w:val="30"/>
        </w:rPr>
        <w:t xml:space="preserve"> melalui Lensa Akuntansi Keperilakuan</w:t>
      </w:r>
    </w:p>
    <w:p w14:paraId="3A1EF515" w14:textId="6350003F" w:rsidR="00100027" w:rsidRPr="003F2074" w:rsidRDefault="00100027" w:rsidP="007677D4">
      <w:pPr>
        <w:tabs>
          <w:tab w:val="right" w:pos="9026"/>
        </w:tabs>
        <w:spacing w:after="0" w:line="240" w:lineRule="auto"/>
        <w:jc w:val="left"/>
        <w:rPr>
          <w:rFonts w:cs="Segoe UI"/>
          <w:i/>
          <w:sz w:val="24"/>
          <w:szCs w:val="20"/>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207E5AF2" w:rsidR="00AC334E" w:rsidRPr="003F2074" w:rsidRDefault="003F2074" w:rsidP="003F2074">
      <w:pPr>
        <w:spacing w:after="40"/>
        <w:rPr>
          <w:lang w:val="sv-SE"/>
        </w:rPr>
      </w:pPr>
      <w:r w:rsidRPr="003F2074">
        <w:rPr>
          <w:rFonts w:eastAsia="Segoe UI" w:cs="Segoe UI"/>
          <w:b/>
          <w:bCs/>
          <w:sz w:val="24"/>
          <w:szCs w:val="24"/>
          <w:lang w:val="sv-SE"/>
        </w:rPr>
        <w:t>Frischa Faradilla Arwinda Mongan</w:t>
      </w:r>
      <w:r w:rsidRPr="003F2074">
        <w:rPr>
          <w:rFonts w:eastAsia="Segoe UI" w:cs="Segoe UI"/>
          <w:b/>
          <w:bCs/>
          <w:sz w:val="24"/>
          <w:szCs w:val="24"/>
          <w:vertAlign w:val="superscript"/>
          <w:lang w:val="sv-SE"/>
        </w:rPr>
        <w:t>1*</w:t>
      </w:r>
      <w:r w:rsidR="001E0508" w:rsidRPr="003F2074">
        <w:rPr>
          <w:rFonts w:cs="Segoe UI"/>
          <w:b/>
          <w:bCs/>
          <w:sz w:val="24"/>
          <w:szCs w:val="24"/>
          <w:lang w:val="fi-FI"/>
        </w:rPr>
        <w:t>,</w:t>
      </w:r>
      <w:r w:rsidR="001E0508" w:rsidRPr="00886EB8">
        <w:rPr>
          <w:rFonts w:cs="Segoe UI"/>
          <w:b/>
          <w:bCs/>
          <w:sz w:val="24"/>
          <w:szCs w:val="24"/>
          <w:lang w:val="fi-FI"/>
        </w:rPr>
        <w:t xml:space="preserve"> </w:t>
      </w:r>
      <w:r>
        <w:rPr>
          <w:rFonts w:cs="Segoe UI"/>
          <w:b/>
          <w:bCs/>
          <w:sz w:val="24"/>
          <w:szCs w:val="24"/>
          <w:lang w:val="fi-FI"/>
        </w:rPr>
        <w:t>Ni Nyoman Ayu Suryandari</w:t>
      </w:r>
      <w:r>
        <w:rPr>
          <w:rFonts w:eastAsia="Segoe UI" w:cs="Segoe UI"/>
          <w:b/>
          <w:bCs/>
          <w:sz w:val="24"/>
          <w:szCs w:val="24"/>
          <w:vertAlign w:val="superscript"/>
          <w:lang w:val="fi-FI"/>
        </w:rPr>
        <w:t>2</w:t>
      </w:r>
      <w:r w:rsidR="001E0508" w:rsidRPr="00886EB8">
        <w:rPr>
          <w:rFonts w:cs="Segoe UI"/>
          <w:b/>
          <w:bCs/>
          <w:sz w:val="24"/>
          <w:szCs w:val="24"/>
          <w:lang w:val="fi-FI"/>
        </w:rPr>
        <w:t xml:space="preserve">, </w:t>
      </w:r>
      <w:r>
        <w:rPr>
          <w:rFonts w:cs="Segoe UI"/>
          <w:b/>
          <w:bCs/>
          <w:sz w:val="24"/>
          <w:szCs w:val="24"/>
          <w:lang w:val="fi-FI"/>
        </w:rPr>
        <w:t>Marda Yunita Bendon</w:t>
      </w:r>
      <w:r>
        <w:rPr>
          <w:rFonts w:eastAsia="Segoe UI" w:cs="Segoe UI"/>
          <w:b/>
          <w:bCs/>
          <w:sz w:val="24"/>
          <w:szCs w:val="24"/>
          <w:vertAlign w:val="superscript"/>
          <w:lang w:val="sv-SE"/>
        </w:rPr>
        <w:t>3</w:t>
      </w:r>
    </w:p>
    <w:p w14:paraId="408EDE2B" w14:textId="7A8F2C4F" w:rsidR="00AC334E" w:rsidRDefault="001E0508" w:rsidP="00241D17">
      <w:pPr>
        <w:tabs>
          <w:tab w:val="right" w:pos="9026"/>
        </w:tabs>
        <w:spacing w:after="0" w:line="240" w:lineRule="auto"/>
        <w:rPr>
          <w:rFonts w:cs="Segoe UI"/>
          <w:sz w:val="20"/>
          <w:szCs w:val="20"/>
          <w:lang w:val="fi-FI"/>
        </w:rPr>
      </w:pPr>
      <w:r w:rsidRPr="007677D4">
        <w:rPr>
          <w:rFonts w:cs="Segoe UI"/>
          <w:sz w:val="20"/>
          <w:szCs w:val="20"/>
          <w:vertAlign w:val="superscript"/>
          <w:lang w:val="fi-FI"/>
        </w:rPr>
        <w:t>1</w:t>
      </w:r>
      <w:r w:rsidR="003F2074">
        <w:rPr>
          <w:rFonts w:cs="Segoe UI"/>
          <w:sz w:val="20"/>
          <w:szCs w:val="20"/>
          <w:vertAlign w:val="superscript"/>
          <w:lang w:val="fi-FI"/>
        </w:rPr>
        <w:t>,3</w:t>
      </w:r>
      <w:r w:rsidR="003F2074" w:rsidRPr="007677D4">
        <w:rPr>
          <w:rFonts w:cs="Segoe UI"/>
          <w:sz w:val="20"/>
          <w:szCs w:val="20"/>
          <w:lang w:val="fi-FI"/>
        </w:rPr>
        <w:t xml:space="preserve"> </w:t>
      </w:r>
      <w:r w:rsidR="00742A70">
        <w:rPr>
          <w:rFonts w:cs="Segoe UI"/>
          <w:sz w:val="20"/>
          <w:szCs w:val="20"/>
          <w:lang w:val="fi-FI"/>
        </w:rPr>
        <w:t>Universitas Kristen Indonesia Paulus</w:t>
      </w:r>
      <w:r w:rsidR="006F20C0" w:rsidRPr="007677D4">
        <w:rPr>
          <w:rFonts w:cs="Segoe UI"/>
          <w:sz w:val="20"/>
          <w:szCs w:val="20"/>
          <w:lang w:val="fi-FI"/>
        </w:rPr>
        <w:t xml:space="preserve">, </w:t>
      </w:r>
      <w:r w:rsidR="00742A70">
        <w:rPr>
          <w:rFonts w:cs="Segoe UI"/>
          <w:sz w:val="20"/>
          <w:szCs w:val="20"/>
          <w:lang w:val="fi-FI"/>
        </w:rPr>
        <w:t>Makassar</w:t>
      </w:r>
      <w:r w:rsidR="006F20C0" w:rsidRPr="007677D4">
        <w:rPr>
          <w:rFonts w:cs="Segoe UI"/>
          <w:sz w:val="20"/>
          <w:szCs w:val="20"/>
          <w:lang w:val="fi-FI"/>
        </w:rPr>
        <w:t xml:space="preserve">, </w:t>
      </w:r>
      <w:r w:rsidR="00742A70">
        <w:rPr>
          <w:rFonts w:cs="Segoe UI"/>
          <w:sz w:val="20"/>
          <w:szCs w:val="20"/>
          <w:lang w:val="fi-FI"/>
        </w:rPr>
        <w:t>Indonesia</w:t>
      </w:r>
    </w:p>
    <w:p w14:paraId="296E9614" w14:textId="1C5C2B54" w:rsidR="007677D4" w:rsidRPr="007677D4" w:rsidRDefault="007677D4" w:rsidP="00241D17">
      <w:pPr>
        <w:tabs>
          <w:tab w:val="right" w:pos="9026"/>
        </w:tabs>
        <w:spacing w:after="0" w:line="240" w:lineRule="auto"/>
        <w:rPr>
          <w:rFonts w:cs="Segoe UI"/>
          <w:sz w:val="20"/>
          <w:szCs w:val="20"/>
          <w:lang w:val="fi-FI"/>
        </w:rPr>
      </w:pPr>
      <w:r>
        <w:rPr>
          <w:rFonts w:cs="Segoe UI"/>
          <w:sz w:val="20"/>
          <w:szCs w:val="20"/>
          <w:vertAlign w:val="superscript"/>
          <w:lang w:val="fi-FI"/>
        </w:rPr>
        <w:t>2</w:t>
      </w:r>
      <w:r w:rsidRPr="007677D4">
        <w:rPr>
          <w:rFonts w:cs="Segoe UI"/>
          <w:sz w:val="20"/>
          <w:szCs w:val="20"/>
          <w:lang w:val="fi-FI"/>
        </w:rPr>
        <w:t xml:space="preserve"> </w:t>
      </w:r>
      <w:r w:rsidR="00742A70">
        <w:rPr>
          <w:rFonts w:cs="Segoe UI"/>
          <w:sz w:val="20"/>
          <w:szCs w:val="20"/>
          <w:lang w:val="fi-FI"/>
        </w:rPr>
        <w:t>Universitas Mahasaraswati Denpasar</w:t>
      </w:r>
      <w:r w:rsidRPr="007677D4">
        <w:rPr>
          <w:rFonts w:cs="Segoe UI"/>
          <w:sz w:val="20"/>
          <w:szCs w:val="20"/>
          <w:lang w:val="fi-FI"/>
        </w:rPr>
        <w:t xml:space="preserve">, </w:t>
      </w:r>
      <w:r w:rsidR="00742A70">
        <w:rPr>
          <w:rFonts w:cs="Segoe UI"/>
          <w:sz w:val="20"/>
          <w:szCs w:val="20"/>
          <w:lang w:val="fi-FI"/>
        </w:rPr>
        <w:t>Denpasar</w:t>
      </w:r>
      <w:r w:rsidRPr="007677D4">
        <w:rPr>
          <w:rFonts w:cs="Segoe UI"/>
          <w:sz w:val="20"/>
          <w:szCs w:val="20"/>
          <w:lang w:val="fi-FI"/>
        </w:rPr>
        <w:t xml:space="preserve">, </w:t>
      </w:r>
      <w:r w:rsidR="00742A70">
        <w:rPr>
          <w:rFonts w:cs="Segoe UI"/>
          <w:sz w:val="20"/>
          <w:szCs w:val="20"/>
          <w:lang w:val="fi-FI"/>
        </w:rPr>
        <w:t>Indonesia</w:t>
      </w:r>
    </w:p>
    <w:p w14:paraId="03280406" w14:textId="06A16506" w:rsidR="00BE12F5" w:rsidRPr="007677D4" w:rsidRDefault="00742A70" w:rsidP="00241D17">
      <w:pPr>
        <w:tabs>
          <w:tab w:val="right" w:pos="9026"/>
        </w:tabs>
        <w:spacing w:after="0" w:line="240" w:lineRule="auto"/>
        <w:rPr>
          <w:rFonts w:cs="Segoe UI"/>
          <w:i/>
          <w:sz w:val="18"/>
          <w:szCs w:val="18"/>
          <w:lang w:val="en-US"/>
        </w:rPr>
      </w:pPr>
      <w:hyperlink r:id="rId11" w:history="1">
        <w:r w:rsidRPr="002E01F5">
          <w:rPr>
            <w:rStyle w:val="Hyperlink"/>
            <w:rFonts w:cs="Segoe UI"/>
            <w:i/>
            <w:sz w:val="18"/>
            <w:szCs w:val="18"/>
            <w:lang w:val="fi-FI"/>
          </w:rPr>
          <w:t>frischa@ukipaulus.ac.id</w:t>
        </w:r>
      </w:hyperlink>
      <w:r>
        <w:rPr>
          <w:rFonts w:cs="Segoe UI"/>
          <w:i/>
          <w:sz w:val="18"/>
          <w:szCs w:val="18"/>
          <w:lang w:val="fi-FI"/>
        </w:rPr>
        <w:t xml:space="preserve"> </w:t>
      </w:r>
      <w:r w:rsidR="001E0508" w:rsidRPr="007677D4">
        <w:rPr>
          <w:rFonts w:cs="Segoe UI"/>
          <w:i/>
          <w:sz w:val="18"/>
          <w:szCs w:val="18"/>
          <w:lang w:val="fi-FI"/>
        </w:rPr>
        <w:t xml:space="preserve"> </w:t>
      </w:r>
      <w:r w:rsidR="001E0508" w:rsidRPr="007677D4">
        <w:rPr>
          <w:rFonts w:cs="Segoe UI"/>
          <w:i/>
          <w:sz w:val="18"/>
          <w:szCs w:val="18"/>
          <w:lang w:val="en-US"/>
        </w:rPr>
        <w:t>(Korespondensi)</w:t>
      </w:r>
      <w:r w:rsidR="006F20C0" w:rsidRPr="007677D4">
        <w:rPr>
          <w:rFonts w:cs="Segoe UI"/>
          <w:i/>
          <w:sz w:val="18"/>
          <w:szCs w:val="18"/>
          <w:lang w:val="en-US"/>
        </w:rPr>
        <w:t>*</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88" w:type="pct"/>
        <w:tblBorders>
          <w:top w:val="single" w:sz="4" w:space="0" w:color="auto"/>
          <w:bottom w:val="single" w:sz="4" w:space="0" w:color="auto"/>
        </w:tblBorders>
        <w:tblLook w:val="04A0" w:firstRow="1" w:lastRow="0" w:firstColumn="1" w:lastColumn="0" w:noHBand="0" w:noVBand="1"/>
      </w:tblPr>
      <w:tblGrid>
        <w:gridCol w:w="2269"/>
        <w:gridCol w:w="6916"/>
      </w:tblGrid>
      <w:tr w:rsidR="00241D17" w:rsidRPr="00C676AF" w14:paraId="0562E13F" w14:textId="77777777" w:rsidTr="00742A70">
        <w:trPr>
          <w:trHeight w:val="189"/>
        </w:trPr>
        <w:tc>
          <w:tcPr>
            <w:tcW w:w="1235"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763"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742A70">
        <w:trPr>
          <w:trHeight w:val="1678"/>
        </w:trPr>
        <w:tc>
          <w:tcPr>
            <w:tcW w:w="1235" w:type="pct"/>
            <w:tcBorders>
              <w:top w:val="single" w:sz="4" w:space="0" w:color="auto"/>
              <w:bottom w:val="single" w:sz="4" w:space="0" w:color="auto"/>
            </w:tcBorders>
          </w:tcPr>
          <w:p w14:paraId="3D67F033" w14:textId="77777777" w:rsidR="00241D17" w:rsidRPr="00C676AF" w:rsidRDefault="00241D17" w:rsidP="002F2804">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203F8D08" w14:textId="2117D3F9" w:rsidR="00DD43B2" w:rsidRDefault="00DD43B2" w:rsidP="002F2804">
            <w:pPr>
              <w:spacing w:after="80" w:line="240" w:lineRule="auto"/>
            </w:pPr>
            <w:r>
              <w:rPr>
                <w:rFonts w:eastAsia="Segoe UI" w:cs="Segoe UI"/>
                <w:i/>
                <w:iCs/>
                <w:sz w:val="20"/>
                <w:szCs w:val="20"/>
              </w:rPr>
              <w:t>G</w:t>
            </w:r>
            <w:r>
              <w:rPr>
                <w:rFonts w:eastAsia="Segoe UI" w:cs="Segoe UI"/>
                <w:i/>
                <w:iCs/>
                <w:sz w:val="20"/>
                <w:szCs w:val="20"/>
              </w:rPr>
              <w:t>reenwashing</w:t>
            </w:r>
            <w:r>
              <w:rPr>
                <w:rFonts w:eastAsia="Segoe UI" w:cs="Segoe UI"/>
                <w:i/>
                <w:iCs/>
                <w:sz w:val="20"/>
                <w:szCs w:val="20"/>
              </w:rPr>
              <w:t>,</w:t>
            </w:r>
            <w:r>
              <w:rPr>
                <w:rFonts w:eastAsia="Segoe UI" w:cs="Segoe UI"/>
                <w:i/>
                <w:iCs/>
                <w:sz w:val="20"/>
                <w:szCs w:val="20"/>
              </w:rPr>
              <w:t xml:space="preserve"> sustainability reporting</w:t>
            </w:r>
            <w:r>
              <w:rPr>
                <w:rFonts w:eastAsia="Segoe UI" w:cs="Segoe UI"/>
                <w:i/>
                <w:iCs/>
                <w:sz w:val="20"/>
                <w:szCs w:val="20"/>
              </w:rPr>
              <w:t>,</w:t>
            </w:r>
            <w:r>
              <w:rPr>
                <w:rFonts w:eastAsia="Segoe UI" w:cs="Segoe UI"/>
                <w:i/>
                <w:iCs/>
                <w:sz w:val="20"/>
                <w:szCs w:val="20"/>
              </w:rPr>
              <w:t xml:space="preserve"> impression management</w:t>
            </w:r>
            <w:r>
              <w:rPr>
                <w:rFonts w:eastAsia="Segoe UI" w:cs="Segoe UI"/>
                <w:i/>
                <w:iCs/>
                <w:sz w:val="20"/>
                <w:szCs w:val="20"/>
              </w:rPr>
              <w:t>,</w:t>
            </w:r>
            <w:r>
              <w:rPr>
                <w:rFonts w:eastAsia="Segoe UI" w:cs="Segoe UI"/>
                <w:i/>
                <w:iCs/>
                <w:sz w:val="20"/>
                <w:szCs w:val="20"/>
              </w:rPr>
              <w:t xml:space="preserve"> moral disengagement</w:t>
            </w:r>
            <w:r>
              <w:rPr>
                <w:rFonts w:eastAsia="Segoe UI" w:cs="Segoe UI"/>
                <w:i/>
                <w:iCs/>
                <w:sz w:val="20"/>
                <w:szCs w:val="20"/>
              </w:rPr>
              <w:t>,</w:t>
            </w:r>
            <w:r>
              <w:rPr>
                <w:rFonts w:eastAsia="Segoe UI" w:cs="Segoe UI"/>
                <w:i/>
                <w:iCs/>
                <w:sz w:val="20"/>
                <w:szCs w:val="20"/>
              </w:rPr>
              <w:t xml:space="preserve"> behavioral accounting</w:t>
            </w:r>
          </w:p>
          <w:p w14:paraId="495B6352" w14:textId="11680AE7" w:rsidR="00241D17" w:rsidRPr="00C676AF" w:rsidRDefault="00241D17" w:rsidP="002F2804">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444723F7" w:rsidR="00241D17" w:rsidRPr="00C676AF" w:rsidRDefault="00DD43B2" w:rsidP="002F2804">
            <w:pPr>
              <w:spacing w:after="0" w:line="240" w:lineRule="auto"/>
              <w:jc w:val="left"/>
              <w:rPr>
                <w:rFonts w:eastAsia="Times New Roman" w:cs="Segoe UI"/>
                <w:i/>
                <w:color w:val="181717"/>
                <w:sz w:val="20"/>
                <w:szCs w:val="20"/>
              </w:rPr>
            </w:pPr>
            <w:r w:rsidRPr="00423848">
              <w:rPr>
                <w:rFonts w:eastAsia="Segoe UI" w:cs="Segoe UI"/>
                <w:i/>
                <w:iCs/>
                <w:sz w:val="20"/>
                <w:szCs w:val="20"/>
                <w:lang w:val="sv-SE"/>
              </w:rPr>
              <w:t>greenwashing; pelaporan keberlanjutan; manajemen kesan; pelepasan moral; akuntansi keperilakuan</w:t>
            </w:r>
          </w:p>
        </w:tc>
        <w:tc>
          <w:tcPr>
            <w:tcW w:w="3763" w:type="pct"/>
            <w:tcBorders>
              <w:top w:val="single" w:sz="4" w:space="0" w:color="auto"/>
              <w:bottom w:val="single" w:sz="4" w:space="0" w:color="auto"/>
            </w:tcBorders>
          </w:tcPr>
          <w:p w14:paraId="38071BBE" w14:textId="458558E2" w:rsidR="001E0508" w:rsidRPr="00C736C0" w:rsidRDefault="00241D17" w:rsidP="002F2804">
            <w:pPr>
              <w:spacing w:after="80" w:line="240" w:lineRule="auto"/>
            </w:pPr>
            <w:r w:rsidRPr="00C676AF">
              <w:rPr>
                <w:rFonts w:eastAsia="Times New Roman" w:cs="Segoe UI"/>
                <w:b/>
                <w:i/>
                <w:iCs/>
                <w:sz w:val="20"/>
                <w:szCs w:val="20"/>
              </w:rPr>
              <w:t>Abstract:</w:t>
            </w:r>
            <w:r w:rsidR="00C736C0">
              <w:rPr>
                <w:rFonts w:eastAsia="Times New Roman" w:cs="Segoe UI"/>
                <w:b/>
                <w:i/>
                <w:iCs/>
                <w:sz w:val="20"/>
                <w:szCs w:val="20"/>
              </w:rPr>
              <w:t xml:space="preserve"> </w:t>
            </w:r>
            <w:r w:rsidR="00C736C0">
              <w:rPr>
                <w:rFonts w:eastAsia="Segoe UI" w:cs="Segoe UI"/>
                <w:i/>
                <w:iCs/>
                <w:sz w:val="20"/>
                <w:szCs w:val="20"/>
              </w:rPr>
              <w:t>Sustainability reporting was introduced to make corporate environmental and social impacts visible, yet a persistent gap remains between the image a report projects and the reality it represents. This conceptual paper argues that greenwashing should not be treated merely as a technical disclosure failure, but as a behavioral phenomenon rooted in human judgment. Employing a critical literature review with content analysis and thematic synthesis of indexed scholarly literature, this study integrates the sustainability reporting and behavioral accounting literatures into a single framework. The synthesis shows that greenwashing is structurally analogous to fraud, driven by pressure, opportunity, and rationalization. Prior empirical evidence indicates that disclosure quality often evolves symbolically, that visual elements convey largely symbolic sustainability messages, and that impression management gaps persist despite mounting regulatory pressure. Rationalization is sustained by moral disengagement mechanisms that render symbolic claims acceptable to preparers. This study contributes a behavioral framework and four testable propositions for future empirical research.</w:t>
            </w:r>
          </w:p>
          <w:p w14:paraId="3968C054" w14:textId="77777777" w:rsidR="00886EB8" w:rsidRDefault="00886EB8" w:rsidP="002F2804">
            <w:pPr>
              <w:spacing w:after="0" w:line="240" w:lineRule="auto"/>
              <w:rPr>
                <w:rFonts w:eastAsia="Times New Roman" w:cs="Segoe UI"/>
                <w:b/>
                <w:iCs/>
                <w:sz w:val="20"/>
                <w:szCs w:val="20"/>
              </w:rPr>
            </w:pPr>
          </w:p>
          <w:p w14:paraId="5CE97357" w14:textId="247BF3D8" w:rsidR="00147D80" w:rsidRPr="00C736C0" w:rsidRDefault="00241D17" w:rsidP="002F2804">
            <w:pPr>
              <w:spacing w:after="0" w:line="240" w:lineRule="auto"/>
              <w:rPr>
                <w:rStyle w:val="Strong"/>
                <w:rFonts w:cs="Segoe UI"/>
                <w:b w:val="0"/>
                <w:bCs w:val="0"/>
                <w:color w:val="000000"/>
                <w:sz w:val="21"/>
                <w:szCs w:val="21"/>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C736C0" w:rsidRPr="00C736C0">
              <w:rPr>
                <w:rFonts w:eastAsia="Segoe UI" w:cs="Segoe UI"/>
                <w:sz w:val="20"/>
                <w:szCs w:val="20"/>
              </w:rPr>
              <w:t xml:space="preserve">Pelaporan keberlanjutan </w:t>
            </w:r>
            <w:r w:rsidR="002F2804">
              <w:rPr>
                <w:rFonts w:eastAsia="Segoe UI" w:cs="Segoe UI"/>
                <w:sz w:val="20"/>
                <w:szCs w:val="20"/>
              </w:rPr>
              <w:t>bertujuan</w:t>
            </w:r>
            <w:r w:rsidR="00C736C0" w:rsidRPr="00C736C0">
              <w:rPr>
                <w:rFonts w:eastAsia="Segoe UI" w:cs="Segoe UI"/>
                <w:sz w:val="20"/>
                <w:szCs w:val="20"/>
              </w:rPr>
              <w:t xml:space="preserve"> untuk membuat dampak lingkungan dan sosial perusahaan </w:t>
            </w:r>
            <w:r w:rsidR="00C736C0">
              <w:rPr>
                <w:rFonts w:eastAsia="Segoe UI" w:cs="Segoe UI"/>
                <w:sz w:val="20"/>
                <w:szCs w:val="20"/>
              </w:rPr>
              <w:t>terlihat, namun tetap tersisa jurang antara citra yang ditampilkan dalam</w:t>
            </w:r>
            <w:r w:rsidR="00C736C0" w:rsidRPr="00C736C0">
              <w:rPr>
                <w:rFonts w:eastAsia="Segoe UI" w:cs="Segoe UI"/>
                <w:sz w:val="20"/>
                <w:szCs w:val="20"/>
              </w:rPr>
              <w:t xml:space="preserve"> laporan dan kenyataan yang </w:t>
            </w:r>
            <w:r w:rsidR="00C736C0">
              <w:rPr>
                <w:rFonts w:eastAsia="Segoe UI" w:cs="Segoe UI"/>
                <w:sz w:val="20"/>
                <w:szCs w:val="20"/>
              </w:rPr>
              <w:t>diwakili</w:t>
            </w:r>
            <w:r w:rsidR="00C736C0" w:rsidRPr="00C736C0">
              <w:rPr>
                <w:rFonts w:eastAsia="Segoe UI" w:cs="Segoe UI"/>
                <w:sz w:val="20"/>
                <w:szCs w:val="20"/>
              </w:rPr>
              <w:t xml:space="preserve">. </w:t>
            </w:r>
            <w:r w:rsidR="00C736C0" w:rsidRPr="00C736C0">
              <w:rPr>
                <w:rFonts w:eastAsia="Segoe UI" w:cs="Segoe UI"/>
                <w:sz w:val="20"/>
                <w:szCs w:val="20"/>
                <w:lang w:val="sv-SE"/>
              </w:rPr>
              <w:t xml:space="preserve">Artikel konseptual ini berargumen bahwa greenwashing tidak sepatutnya dipandang sekadar sebagai kegagalan teknis </w:t>
            </w:r>
            <w:r w:rsidR="00C736C0">
              <w:rPr>
                <w:rFonts w:eastAsia="Segoe UI" w:cs="Segoe UI"/>
                <w:sz w:val="20"/>
                <w:szCs w:val="20"/>
                <w:lang w:val="sv-SE"/>
              </w:rPr>
              <w:t>dalam pengungkapan, melainkan sebagai fenomena perilaku</w:t>
            </w:r>
            <w:r w:rsidR="00C736C0" w:rsidRPr="00C736C0">
              <w:rPr>
                <w:rFonts w:eastAsia="Segoe UI" w:cs="Segoe UI"/>
                <w:sz w:val="20"/>
                <w:szCs w:val="20"/>
                <w:lang w:val="sv-SE"/>
              </w:rPr>
              <w:t xml:space="preserve"> yang berakar pada pertimbangan manusia. Dengan telaah literatur kritis melalui analisis isi dan sintesis tematik atas literatur ilmiah terindeks, kajian ini mempertemukan literatur pelaporan keberlanjutan dan literatur akuntansi keperilakuan dalam satu kerangka. Hasil sintesis menunjukkan bahwa greenwashing memiliki kemiripan struktural dengan kecurangan yang digerakkan oleh tekanan, peluang, dan rasionalisasi. Bukti empiris terdahulu memperlihatkan bahwa mutu </w:t>
            </w:r>
            <w:r w:rsidR="00C736C0" w:rsidRPr="00C736C0">
              <w:rPr>
                <w:rFonts w:eastAsia="Segoe UI" w:cs="Segoe UI"/>
                <w:sz w:val="20"/>
                <w:szCs w:val="20"/>
                <w:lang w:val="sv-SE"/>
              </w:rPr>
              <w:lastRenderedPageBreak/>
              <w:t xml:space="preserve">pengungkapan kerap berkembang secara simbolik, elemen visual mengomunikasikan pesan keberlanjutan yang bersifat simbolik, dan jurang manajemen kesan tetap bertahan meskipun tekanan regulasi meningkat. Rasionalisasi dipertahankan melalui mekanisme pelepasan moral. Kajian ini menghasilkan kerangka keperilakuan beserta empat proposisi yang dapat diuji </w:t>
            </w:r>
            <w:r w:rsidR="00C736C0">
              <w:rPr>
                <w:rFonts w:eastAsia="Segoe UI" w:cs="Segoe UI"/>
                <w:sz w:val="20"/>
                <w:szCs w:val="20"/>
                <w:lang w:val="sv-SE"/>
              </w:rPr>
              <w:t>dalam</w:t>
            </w:r>
            <w:r w:rsidR="00C736C0" w:rsidRPr="00C736C0">
              <w:rPr>
                <w:rFonts w:eastAsia="Segoe UI" w:cs="Segoe UI"/>
                <w:sz w:val="20"/>
                <w:szCs w:val="20"/>
                <w:lang w:val="sv-SE"/>
              </w:rPr>
              <w:t xml:space="preserve"> penelitian empiris </w:t>
            </w:r>
            <w:r w:rsidR="0015233D">
              <w:rPr>
                <w:rFonts w:eastAsia="Segoe UI" w:cs="Segoe UI"/>
                <w:sz w:val="20"/>
                <w:szCs w:val="20"/>
                <w:lang w:val="sv-SE"/>
              </w:rPr>
              <w:t>selanjutnya</w:t>
            </w:r>
            <w:r w:rsidR="00C736C0" w:rsidRPr="00C736C0">
              <w:rPr>
                <w:rFonts w:eastAsia="Segoe UI" w:cs="Segoe UI"/>
                <w:sz w:val="20"/>
                <w:szCs w:val="20"/>
                <w:lang w:val="sv-SE"/>
              </w:rPr>
              <w:t>.</w:t>
            </w:r>
          </w:p>
          <w:p w14:paraId="414A3B75" w14:textId="2EDC7993" w:rsidR="001E0508" w:rsidRPr="00C736C0" w:rsidRDefault="001E0508" w:rsidP="002F2804">
            <w:pPr>
              <w:spacing w:after="0" w:line="240" w:lineRule="auto"/>
              <w:rPr>
                <w:rFonts w:eastAsia="Times New Roman" w:cs="Segoe UI"/>
                <w:iCs/>
                <w:sz w:val="20"/>
                <w:szCs w:val="20"/>
                <w:lang w:val="sv-SE"/>
              </w:rPr>
            </w:pPr>
          </w:p>
        </w:tc>
      </w:tr>
      <w:tr w:rsidR="00241D17" w:rsidRPr="00C676AF" w14:paraId="72CB6547" w14:textId="77777777" w:rsidTr="00742A70">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2F2804">
      <w:pPr>
        <w:pStyle w:val="Heading3"/>
        <w:ind w:firstLine="66"/>
      </w:pPr>
      <w:r w:rsidRPr="001E0508">
        <w:t>PENDAHULUAN</w:t>
      </w:r>
    </w:p>
    <w:p w14:paraId="003230D1" w14:textId="717A8FEC" w:rsidR="0015233D" w:rsidRPr="00423848" w:rsidRDefault="0015233D" w:rsidP="002F2804">
      <w:pPr>
        <w:spacing w:after="120" w:line="240" w:lineRule="auto"/>
        <w:ind w:left="567" w:right="78" w:firstLine="567"/>
        <w:rPr>
          <w:lang w:val="sv-SE"/>
        </w:rPr>
      </w:pPr>
      <w:r w:rsidRPr="00423848">
        <w:rPr>
          <w:rFonts w:eastAsia="Segoe UI" w:cs="Segoe UI"/>
          <w:lang w:val="sv-SE"/>
        </w:rPr>
        <w:t>Setiap tahun ratusan laporan keberlanjutan diterbitkan dengan sampul bergambar hutan, tangan yang menggenggam tunas, dan langit biru yang cerah. Laporan-laporan tersebut tebal, berwarna, dan meyakinkan. Namun</w:t>
      </w:r>
      <w:r>
        <w:rPr>
          <w:rFonts w:eastAsia="Segoe UI" w:cs="Segoe UI"/>
          <w:lang w:val="sv-SE"/>
        </w:rPr>
        <w:t>,</w:t>
      </w:r>
      <w:r w:rsidRPr="00423848">
        <w:rPr>
          <w:rFonts w:eastAsia="Segoe UI" w:cs="Segoe UI"/>
          <w:lang w:val="sv-SE"/>
        </w:rPr>
        <w:t xml:space="preserve"> sebuah kajian </w:t>
      </w:r>
      <w:r>
        <w:rPr>
          <w:rFonts w:eastAsia="Segoe UI" w:cs="Segoe UI"/>
          <w:lang w:val="sv-SE"/>
        </w:rPr>
        <w:t>terhadap 1.064 elemen visual dari laporan keberlanjutan 20 perusahaan yang</w:t>
      </w:r>
      <w:r w:rsidRPr="00423848">
        <w:rPr>
          <w:rFonts w:eastAsia="Segoe UI" w:cs="Segoe UI"/>
          <w:lang w:val="sv-SE"/>
        </w:rPr>
        <w:t xml:space="preserve"> tercatat di </w:t>
      </w:r>
      <w:r>
        <w:rPr>
          <w:rFonts w:eastAsia="Segoe UI" w:cs="Segoe UI"/>
          <w:lang w:val="sv-SE"/>
        </w:rPr>
        <w:t>Bursa</w:t>
      </w:r>
      <w:r w:rsidRPr="00423848">
        <w:rPr>
          <w:rFonts w:eastAsia="Segoe UI" w:cs="Segoe UI"/>
          <w:lang w:val="sv-SE"/>
        </w:rPr>
        <w:t xml:space="preserve"> Selandia Baru menemukan bahwa </w:t>
      </w:r>
      <w:r>
        <w:rPr>
          <w:rFonts w:eastAsia="Segoe UI" w:cs="Segoe UI"/>
          <w:lang w:val="sv-SE"/>
        </w:rPr>
        <w:t xml:space="preserve">elemen </w:t>
      </w:r>
      <w:r w:rsidRPr="00423848">
        <w:rPr>
          <w:rFonts w:eastAsia="Segoe UI" w:cs="Segoe UI"/>
          <w:lang w:val="sv-SE"/>
        </w:rPr>
        <w:t xml:space="preserve">visual tersebut sebagian besar </w:t>
      </w:r>
      <w:r>
        <w:rPr>
          <w:rFonts w:eastAsia="Segoe UI" w:cs="Segoe UI"/>
          <w:lang w:val="sv-SE"/>
        </w:rPr>
        <w:t>menyampaikan</w:t>
      </w:r>
      <w:r w:rsidRPr="00423848">
        <w:rPr>
          <w:rFonts w:eastAsia="Segoe UI" w:cs="Segoe UI"/>
          <w:lang w:val="sv-SE"/>
        </w:rPr>
        <w:t xml:space="preserve"> pesan keberlanjutan yang bersifat simbolik </w:t>
      </w:r>
      <w:r w:rsidR="00E60EC1">
        <w:rPr>
          <w:rFonts w:eastAsia="Segoe UI" w:cs="Segoe UI"/>
          <w:lang w:val="sv-SE"/>
        </w:rPr>
        <w:fldChar w:fldCharType="begin" w:fldLock="1"/>
      </w:r>
      <w:r w:rsidR="00DC0FA0">
        <w:rPr>
          <w:rFonts w:eastAsia="Segoe UI" w:cs="Segoe UI"/>
          <w:lang w:val="sv-SE"/>
        </w:rPr>
        <w:instrText>ADDIN CSL_CITATION {"citationItems":[{"id":"ITEM-1","itemData":{"DOI":"10.1108/ARA-04-2022-0078","ISSN":"1321-7348","abstract":"The purpose of this research is to investigate the use of visuals in communicating symbolic sustainability information by the New Zealand Stock Exchange (NZX) listed companies through their standalone sustainability reports.Using the impression management theoretical framework and Barthes' conceptions of denotation and connotation, the study seeks to examine the way visuals, such as photos, tables and figures, are used to convey symbolic sustainability messages and information. The content analysis method was used to analyse 1,064 visuals from 20 New Zealand Stock Exchange listed companies' standalone sustainability reports for 2017.The authors observe variations in the use of visuals to convey messages about sustainability and the appeal of these visuals to readers in the process of creating a symbolic sustainability message. While photos focus on emotions as their main method of impression management, tables and figures focus on the logical link between readers and a positive sustainability message.The study adds to the impression management theory work that companies use a combination of photos, tables and figures in communicating symbolic positive sustainability messages. The insights inform the corporate culture of the use of visuals and the effect of future reporting practices regarding sustainability information in New Zealand and globally.Unlike other studies on sustainability reporting, we contend that a company uses a combination of visuals to create impressions that include not only positive but also negative and neutral sustainability messages.","author":[{"dropping-particle":"","family":"Momin","given":"Mahmood Ahmed","non-dropping-particle":"","parse-names":false,"suffix":""},{"dropping-particle":"","family":"Ahmed","given":"Zahir Uddin","non-dropping-particle":"","parse-names":false,"suffix":""},{"dropping-particle":"","family":"Liu","given":"Renhe","non-dropping-particle":"","parse-names":false,"suffix":""}],"container-title":"Asian Review of Accounting","id":"ITEM-1","issue":"2","issued":{"date-parts":[["2022","12","9"]]},"page":"181-202","title":"Use of visuals in sustainability reporting by New Zealand Stock Exchange (NZX) listed companies: an impression management perspective","type":"article-journal","volume":"31"},"uris":["http://www.mendeley.com/documents/?uuid=12218b4b-54c5-492f-a30d-32d5feb57ed0"]}],"mendeley":{"formattedCitation":"(Momin et al., 2022)","plainTextFormattedCitation":"(Momin et al., 2022)","previouslyFormattedCitation":"(Momin et al., 2022)"},"properties":{"noteIndex":0},"schema":"https://github.com/citation-style-language/schema/raw/master/csl-citation.json"}</w:instrText>
      </w:r>
      <w:r w:rsidR="00E60EC1">
        <w:rPr>
          <w:rFonts w:eastAsia="Segoe UI" w:cs="Segoe UI"/>
          <w:lang w:val="sv-SE"/>
        </w:rPr>
        <w:fldChar w:fldCharType="separate"/>
      </w:r>
      <w:r w:rsidR="00E60EC1" w:rsidRPr="00E60EC1">
        <w:rPr>
          <w:rFonts w:eastAsia="Segoe UI" w:cs="Segoe UI"/>
          <w:noProof/>
          <w:lang w:val="sv-SE"/>
        </w:rPr>
        <w:t xml:space="preserve">(Momin </w:t>
      </w:r>
      <w:r w:rsidR="00E60EC1" w:rsidRPr="00DC0FA0">
        <w:rPr>
          <w:rFonts w:eastAsia="Segoe UI" w:cs="Segoe UI"/>
          <w:i/>
          <w:iCs/>
          <w:noProof/>
          <w:lang w:val="sv-SE"/>
        </w:rPr>
        <w:t>et al</w:t>
      </w:r>
      <w:r w:rsidR="00E60EC1" w:rsidRPr="00E60EC1">
        <w:rPr>
          <w:rFonts w:eastAsia="Segoe UI" w:cs="Segoe UI"/>
          <w:noProof/>
          <w:lang w:val="sv-SE"/>
        </w:rPr>
        <w:t>., 2022)</w:t>
      </w:r>
      <w:r w:rsidR="00E60EC1">
        <w:rPr>
          <w:rFonts w:eastAsia="Segoe UI" w:cs="Segoe UI"/>
          <w:lang w:val="sv-SE"/>
        </w:rPr>
        <w:fldChar w:fldCharType="end"/>
      </w:r>
      <w:r w:rsidRPr="00423848">
        <w:rPr>
          <w:rFonts w:eastAsia="Segoe UI" w:cs="Segoe UI"/>
          <w:lang w:val="sv-SE"/>
        </w:rPr>
        <w:t>. Laporan itu tidak berbohong secara terang-terangan; ia hanya memilih dengan sangat cermat apa yang ingin dilihat pembacanya.</w:t>
      </w:r>
    </w:p>
    <w:p w14:paraId="208764D8" w14:textId="4528F8FA" w:rsidR="0015233D" w:rsidRPr="00423848" w:rsidRDefault="0015233D" w:rsidP="002F2804">
      <w:pPr>
        <w:spacing w:after="120" w:line="240" w:lineRule="auto"/>
        <w:ind w:left="567" w:right="78" w:firstLine="567"/>
        <w:rPr>
          <w:lang w:val="sv-SE"/>
        </w:rPr>
      </w:pPr>
      <w:r w:rsidRPr="00423848">
        <w:rPr>
          <w:rFonts w:eastAsia="Segoe UI" w:cs="Segoe UI"/>
          <w:lang w:val="sv-SE"/>
        </w:rPr>
        <w:t xml:space="preserve">Fenomena inilah yang dikenal sebagai </w:t>
      </w:r>
      <w:r w:rsidRPr="00423848">
        <w:rPr>
          <w:rFonts w:eastAsia="Segoe UI" w:cs="Segoe UI"/>
          <w:i/>
          <w:iCs/>
          <w:lang w:val="sv-SE"/>
        </w:rPr>
        <w:t>greenwashing</w:t>
      </w:r>
      <w:r w:rsidRPr="00423848">
        <w:rPr>
          <w:rFonts w:eastAsia="Segoe UI" w:cs="Segoe UI"/>
          <w:lang w:val="sv-SE"/>
        </w:rPr>
        <w:t xml:space="preserve">, yaitu praktik menampilkan citra keberlanjutan yang lebih baik daripada kinerja </w:t>
      </w:r>
      <w:r w:rsidR="00B168E1">
        <w:rPr>
          <w:rFonts w:eastAsia="Segoe UI" w:cs="Segoe UI"/>
          <w:lang w:val="sv-SE"/>
        </w:rPr>
        <w:t>sebenarnya</w:t>
      </w:r>
      <w:r w:rsidRPr="00423848">
        <w:rPr>
          <w:rFonts w:eastAsia="Segoe UI" w:cs="Segoe UI"/>
          <w:lang w:val="sv-SE"/>
        </w:rPr>
        <w:t xml:space="preserve">. Selama ini, </w:t>
      </w:r>
      <w:r w:rsidRPr="00423848">
        <w:rPr>
          <w:rFonts w:eastAsia="Segoe UI" w:cs="Segoe UI"/>
          <w:i/>
          <w:iCs/>
          <w:lang w:val="sv-SE"/>
        </w:rPr>
        <w:t>greenwashing</w:t>
      </w:r>
      <w:r w:rsidRPr="00423848">
        <w:rPr>
          <w:rFonts w:eastAsia="Segoe UI" w:cs="Segoe UI"/>
          <w:lang w:val="sv-SE"/>
        </w:rPr>
        <w:t xml:space="preserve"> lazim didiskusikan sebagai persoalan teknis pengungkapan, yakni soal standar yang belum seragam, indikator yang belum terukur, atau </w:t>
      </w:r>
      <w:r w:rsidR="00B168E1">
        <w:rPr>
          <w:rFonts w:eastAsia="Segoe UI" w:cs="Segoe UI"/>
          <w:lang w:val="sv-SE"/>
        </w:rPr>
        <w:t>asuransi</w:t>
      </w:r>
      <w:r w:rsidRPr="00423848">
        <w:rPr>
          <w:rFonts w:eastAsia="Segoe UI" w:cs="Segoe UI"/>
          <w:lang w:val="sv-SE"/>
        </w:rPr>
        <w:t xml:space="preserve"> yang belum diwajibkan. Cara pandang demikian menyisakan pertanyaan mendasar. Standar dapat diperketat dan indikator dapat ditambah, tetapi selama laporan disusun oleh manusia yang menghadapi tekanan, memiliki keleluasaan </w:t>
      </w:r>
      <w:r w:rsidR="00B168E1">
        <w:rPr>
          <w:rFonts w:eastAsia="Segoe UI" w:cs="Segoe UI"/>
          <w:lang w:val="sv-SE"/>
        </w:rPr>
        <w:t>untuk menafsirkan</w:t>
      </w:r>
      <w:r w:rsidRPr="00423848">
        <w:rPr>
          <w:rFonts w:eastAsia="Segoe UI" w:cs="Segoe UI"/>
          <w:lang w:val="sv-SE"/>
        </w:rPr>
        <w:t xml:space="preserve">, dan mampu membenarkan pilihannya sendiri, jurang antara citra dan kenyataan akan tetap terbuka. Dengan kata lain, akar </w:t>
      </w:r>
      <w:r w:rsidRPr="00423848">
        <w:rPr>
          <w:rFonts w:eastAsia="Segoe UI" w:cs="Segoe UI"/>
          <w:i/>
          <w:iCs/>
          <w:lang w:val="sv-SE"/>
        </w:rPr>
        <w:t>greenwashing</w:t>
      </w:r>
      <w:r w:rsidRPr="00423848">
        <w:rPr>
          <w:rFonts w:eastAsia="Segoe UI" w:cs="Segoe UI"/>
          <w:lang w:val="sv-SE"/>
        </w:rPr>
        <w:t xml:space="preserve"> terletak pada perilaku, bukan semata pada teknis pelaporan.</w:t>
      </w:r>
    </w:p>
    <w:p w14:paraId="05347EAD" w14:textId="0FA57E97" w:rsidR="0015233D" w:rsidRPr="00423848" w:rsidRDefault="0015233D" w:rsidP="002F2804">
      <w:pPr>
        <w:spacing w:after="120" w:line="240" w:lineRule="auto"/>
        <w:ind w:left="567" w:right="78" w:firstLine="567"/>
        <w:rPr>
          <w:lang w:val="sv-SE"/>
        </w:rPr>
      </w:pPr>
      <w:r w:rsidRPr="00423848">
        <w:rPr>
          <w:rFonts w:eastAsia="Segoe UI" w:cs="Segoe UI"/>
          <w:lang w:val="sv-SE"/>
        </w:rPr>
        <w:t xml:space="preserve">Argumen ini </w:t>
      </w:r>
      <w:r w:rsidR="005F34D7">
        <w:rPr>
          <w:rFonts w:eastAsia="Segoe UI" w:cs="Segoe UI"/>
          <w:lang w:val="sv-SE"/>
        </w:rPr>
        <w:t>didukung oleh</w:t>
      </w:r>
      <w:r w:rsidRPr="00423848">
        <w:rPr>
          <w:rFonts w:eastAsia="Segoe UI" w:cs="Segoe UI"/>
          <w:lang w:val="sv-SE"/>
        </w:rPr>
        <w:t xml:space="preserve"> literatur </w:t>
      </w:r>
      <w:r w:rsidR="005F34D7">
        <w:rPr>
          <w:rFonts w:eastAsia="Segoe UI" w:cs="Segoe UI"/>
          <w:lang w:val="sv-SE"/>
        </w:rPr>
        <w:t>terbaru</w:t>
      </w:r>
      <w:r w:rsidRPr="00423848">
        <w:rPr>
          <w:rFonts w:eastAsia="Segoe UI" w:cs="Segoe UI"/>
          <w:lang w:val="sv-SE"/>
        </w:rPr>
        <w:t xml:space="preserve">. </w:t>
      </w:r>
      <w:r w:rsidR="00DC0FA0">
        <w:rPr>
          <w:rFonts w:eastAsia="Segoe UI" w:cs="Segoe UI"/>
          <w:lang w:val="sv-SE"/>
        </w:rPr>
        <w:fldChar w:fldCharType="begin" w:fldLock="1"/>
      </w:r>
      <w:r w:rsidR="00DC0FA0">
        <w:rPr>
          <w:rFonts w:eastAsia="Segoe UI" w:cs="Segoe UI"/>
          <w:lang w:val="sv-SE"/>
        </w:rPr>
        <w:instrText>ADDIN CSL_CITATION {"citationItems":[{"id":"ITEM-1","itemData":{"DOI":"10.1108/SAMPJ-10-2018-0272","ISSN":"2040-8021","abstract":"The purpose of this paper is to show a significant overlap in the models accounting research uses for fraud and the models other research disciplines use for greenwashing, and show how researchers and policymakers interested in the application of effective sustainability policy can draw from fraud accounting literature to better understand, and therefore, combat greenwashing. This is illustrated by showing multi-actor information-asymmetry models from other branches of accounting literature and synthesizing them with the fraud triangle model to suggest new avenues for reducing greenwashing and strengthening corporate social responsibility (CSR).This paper reviews the current literature surrounding the greenwashing aspect of corporate camouflage compares the legal and technical definitions of fraud and synthesizes a new variant fraud triangle that more usefully describes greenwashing.This paper is able to show that other areas of accounting research in North America have already tackled similar systems of multiple actors in an information-asymmetric environment and that a recurring trait is the emergence of a more robust reporting system. CSR reporting is currently in the process of emerging and could develop more swiftly by copying extant fraud-fighting tools. This is particularly salient given the increasing amount of liability legal regimes are giving to both sustainability activities and sustainability reporting from firms, as evidenced in both guidelines and scandals over the past decade.Sustainability reporting is not unique in comprising a large number of interrelated entities with non-financial information asymmetry between actors. Previous researchers have encountered similar situations in government accounting and public administration and developed network models to study these relationships as a result. In government accounting, this led to the development both of better diagnostic tools for further research and better models for local governments to use to prevent fraud and malfeasance. This paper suggests that using such research methods in the area of CSR will allow for the development of similarly-useful tools and models.Visualizing greenwashing as a form of fraud allows policymakers to use tools from the fraud-fighting literature to improve CSR reporting and produce a more robust regime in the future. As governments increasingly seek to respond effectively to material misstatements with an intent to deceive in sustainability reports, und…","author":[{"dropping-particle":"","family":"Kurpierz","given":"John Richard","non-dropping-particle":"","parse-names":false,"suffix":""},{"dropping-particle":"","family":"Smith","given":"Ken","non-dropping-particle":"","parse-names":false,"suffix":""}],"container-title":"Sustainability Accounting, Management and Policy Journal","id":"ITEM-1","issue":"6","issued":{"date-parts":[["2020","5","1"]]},"page":"1075-1093","title":"The greenwashing triangle: adapting tools from fraud to improve CSR reporting","type":"article-journal","volume":"11"},"uris":["http://www.mendeley.com/documents/?uuid=4ba08c74-abe6-49a0-933c-07ecdcdfc201"]}],"mendeley":{"formattedCitation":"(Kurpierz &amp; Smith, 2020)","manualFormatting":"Kurpierz &amp; Smith (2020)","plainTextFormattedCitation":"(Kurpierz &amp; Smith, 2020)","previouslyFormattedCitation":"(Kurpierz &amp; Smith, 2020)"},"properties":{"noteIndex":0},"schema":"https://github.com/citation-style-language/schema/raw/master/csl-citation.json"}</w:instrText>
      </w:r>
      <w:r w:rsidR="00DC0FA0">
        <w:rPr>
          <w:rFonts w:eastAsia="Segoe UI" w:cs="Segoe UI"/>
          <w:lang w:val="sv-SE"/>
        </w:rPr>
        <w:fldChar w:fldCharType="separate"/>
      </w:r>
      <w:r w:rsidR="00DC0FA0" w:rsidRPr="00DC0FA0">
        <w:rPr>
          <w:rFonts w:eastAsia="Segoe UI" w:cs="Segoe UI"/>
          <w:noProof/>
          <w:lang w:val="sv-SE"/>
        </w:rPr>
        <w:t xml:space="preserve">Kurpierz &amp; Smith </w:t>
      </w:r>
      <w:r w:rsidR="00DC0FA0">
        <w:rPr>
          <w:rFonts w:eastAsia="Segoe UI" w:cs="Segoe UI"/>
          <w:noProof/>
          <w:lang w:val="sv-SE"/>
        </w:rPr>
        <w:t>(</w:t>
      </w:r>
      <w:r w:rsidR="00DC0FA0" w:rsidRPr="00DC0FA0">
        <w:rPr>
          <w:rFonts w:eastAsia="Segoe UI" w:cs="Segoe UI"/>
          <w:noProof/>
          <w:lang w:val="sv-SE"/>
        </w:rPr>
        <w:t>2020)</w:t>
      </w:r>
      <w:r w:rsidR="00DC0FA0">
        <w:rPr>
          <w:rFonts w:eastAsia="Segoe UI" w:cs="Segoe UI"/>
          <w:lang w:val="sv-SE"/>
        </w:rPr>
        <w:fldChar w:fldCharType="end"/>
      </w:r>
      <w:r w:rsidRPr="00423848">
        <w:rPr>
          <w:rFonts w:eastAsia="Segoe UI" w:cs="Segoe UI"/>
          <w:lang w:val="sv-SE"/>
        </w:rPr>
        <w:t xml:space="preserve"> menunjukkan bahwa </w:t>
      </w:r>
      <w:r w:rsidRPr="00423848">
        <w:rPr>
          <w:rFonts w:eastAsia="Segoe UI" w:cs="Segoe UI"/>
          <w:i/>
          <w:iCs/>
          <w:lang w:val="sv-SE"/>
        </w:rPr>
        <w:t>greenwashing</w:t>
      </w:r>
      <w:r w:rsidRPr="00423848">
        <w:rPr>
          <w:rFonts w:eastAsia="Segoe UI" w:cs="Segoe UI"/>
          <w:lang w:val="sv-SE"/>
        </w:rPr>
        <w:t xml:space="preserve"> secara struktural menyerupai kecurangan, sehingga dapat dijelaskan dengan mengadaptasi segitiga kecurangan menjadi segitiga </w:t>
      </w:r>
      <w:r w:rsidRPr="00423848">
        <w:rPr>
          <w:rFonts w:eastAsia="Segoe UI" w:cs="Segoe UI"/>
          <w:i/>
          <w:iCs/>
          <w:lang w:val="sv-SE"/>
        </w:rPr>
        <w:t>greenwashing</w:t>
      </w:r>
      <w:r w:rsidRPr="00423848">
        <w:rPr>
          <w:rFonts w:eastAsia="Segoe UI" w:cs="Segoe UI"/>
          <w:lang w:val="sv-SE"/>
        </w:rPr>
        <w:t xml:space="preserve"> yang terdiri atas tekanan, peluang, dan rasionalisasi. Bukti empiris memperkuat hal tersebut. Analisis atas 192 laporan dari 24 perusahaan pada periode 2020 hingga 2023 menemukan jurang manajemen kesan yang signifikan pada dimensi nada, pengaruh, dan analitis, dan yang lebih penting, jurang tersebut tidak menunjukkan tanda menyempit meskipun tekanan regulasi meningkat </w:t>
      </w:r>
      <w:r w:rsidR="00DC0FA0">
        <w:rPr>
          <w:rFonts w:eastAsia="Segoe UI" w:cs="Segoe UI"/>
          <w:lang w:val="sv-SE"/>
        </w:rPr>
        <w:fldChar w:fldCharType="begin" w:fldLock="1"/>
      </w:r>
      <w:r w:rsidR="004D7CF2">
        <w:rPr>
          <w:rFonts w:eastAsia="Segoe UI" w:cs="Segoe UI"/>
          <w:lang w:val="sv-SE"/>
        </w:rPr>
        <w:instrText>ADDIN CSL_CITATION {"citationItems":[{"id":"ITEM-1","itemData":{"DOI":"10.3390/su17188342","ISBN":"2071-1050","abstract":"The current study examined the impression management gap between sustainability and management reports, which in this study serves as a proxy for greenwashing in sustainability reporting. The study sample comprised 192 reports from 24 companies, covering the period 2020–2023. Impression management gaps were estimated across four dimensions—tone, analytical thinking, authenticity, and clout—using textual analysis with the Linguistic Inquiry Word Count software. Our findings reveal significant impression management gaps for tone, clout, and analytics dimensions throughout the entire research sample, confirming a more pronounced use of impression management techniques in sustainability reporting. Despite increasing regulatory pressure during the study period, the calculated gaps did not show signs of decreasing. The results further indicate a high likelihood of greenwashing in the Services and Manufacturing sectors, and a lower likelihood in the Utilities sector. Such gaps risk misleading stakeholders by shaping perceptions that diverge from a company’s actual sustainability practices. Our findings suggest that greenwashing can be effectively detected through textual analysis of disclosures, particularly when conducting comparative studies between different reports. Building on these results, we argue that targeted reporting standards, advanced assurance methodologies, and clearer boundaries for impression management are essential to curbing greenwashing and strengthening the integrity of sustainability communication.","author":[{"dropping-particle":"","family":"Sneideriene","given":"Agne","non-dropping-particle":"","parse-names":false,"suffix":""},{"dropping-particle":"","family":"Legenzova","given":"Renata","non-dropping-particle":"","parse-names":false,"suffix":""}],"container-title":"Sustainability","id":"ITEM-1","issue":"18","issued":{"date-parts":[["2025"]]},"page":"8342","title":"Uncovering Greenwashing: Investigating Impression Management Gap in Corporate Reporting","type":"article","volume":"17"},"uris":["http://www.mendeley.com/documents/?uuid=ae0cda7e-8795-4783-a93d-a477d047e94d"]}],"mendeley":{"formattedCitation":"(Sneideriene &amp; Legenzova, 2025)","plainTextFormattedCitation":"(Sneideriene &amp; Legenzova, 2025)","previouslyFormattedCitation":"(Sneideriene &amp; Legenzova, 2025)"},"properties":{"noteIndex":0},"schema":"https://github.com/citation-style-language/schema/raw/master/csl-citation.json"}</w:instrText>
      </w:r>
      <w:r w:rsidR="00DC0FA0">
        <w:rPr>
          <w:rFonts w:eastAsia="Segoe UI" w:cs="Segoe UI"/>
          <w:lang w:val="sv-SE"/>
        </w:rPr>
        <w:fldChar w:fldCharType="separate"/>
      </w:r>
      <w:r w:rsidR="00DC0FA0" w:rsidRPr="00DC0FA0">
        <w:rPr>
          <w:rFonts w:eastAsia="Segoe UI" w:cs="Segoe UI"/>
          <w:noProof/>
          <w:lang w:val="sv-SE"/>
        </w:rPr>
        <w:t>(Sneideriene &amp; Legenzova, 2025)</w:t>
      </w:r>
      <w:r w:rsidR="00DC0FA0">
        <w:rPr>
          <w:rFonts w:eastAsia="Segoe UI" w:cs="Segoe UI"/>
          <w:lang w:val="sv-SE"/>
        </w:rPr>
        <w:fldChar w:fldCharType="end"/>
      </w:r>
      <w:r w:rsidRPr="00423848">
        <w:rPr>
          <w:rFonts w:eastAsia="Segoe UI" w:cs="Segoe UI"/>
          <w:lang w:val="sv-SE"/>
        </w:rPr>
        <w:t xml:space="preserve">. Temuan ini mengisyaratkan bahwa memperketat aturan saja tidak cukup </w:t>
      </w:r>
      <w:r w:rsidR="00613ECE">
        <w:rPr>
          <w:rFonts w:eastAsia="Segoe UI" w:cs="Segoe UI"/>
          <w:lang w:val="sv-SE"/>
        </w:rPr>
        <w:t>jika</w:t>
      </w:r>
      <w:r w:rsidRPr="00423848">
        <w:rPr>
          <w:rFonts w:eastAsia="Segoe UI" w:cs="Segoe UI"/>
          <w:lang w:val="sv-SE"/>
        </w:rPr>
        <w:t xml:space="preserve"> dimensi </w:t>
      </w:r>
      <w:r w:rsidR="00502284">
        <w:rPr>
          <w:rFonts w:eastAsia="Segoe UI" w:cs="Segoe UI"/>
          <w:lang w:val="sv-SE"/>
        </w:rPr>
        <w:t>perilaku</w:t>
      </w:r>
      <w:r w:rsidRPr="00423848">
        <w:rPr>
          <w:rFonts w:eastAsia="Segoe UI" w:cs="Segoe UI"/>
          <w:lang w:val="sv-SE"/>
        </w:rPr>
        <w:t xml:space="preserve"> diabaikan.</w:t>
      </w:r>
    </w:p>
    <w:p w14:paraId="49EC6A4B" w14:textId="18FB4102" w:rsidR="0015233D" w:rsidRPr="00423848" w:rsidRDefault="0015233D" w:rsidP="002F2804">
      <w:pPr>
        <w:spacing w:after="120" w:line="240" w:lineRule="auto"/>
        <w:ind w:left="567" w:right="78" w:firstLine="567"/>
        <w:rPr>
          <w:lang w:val="sv-SE"/>
        </w:rPr>
      </w:pPr>
      <w:r w:rsidRPr="00423848">
        <w:rPr>
          <w:rFonts w:eastAsia="Segoe UI" w:cs="Segoe UI"/>
          <w:lang w:val="sv-SE"/>
        </w:rPr>
        <w:t xml:space="preserve">Di Indonesia, kebutuhan </w:t>
      </w:r>
      <w:r w:rsidR="00B44AD5">
        <w:rPr>
          <w:rFonts w:eastAsia="Segoe UI" w:cs="Segoe UI"/>
          <w:lang w:val="sv-SE"/>
        </w:rPr>
        <w:t>akan</w:t>
      </w:r>
      <w:r w:rsidRPr="00423848">
        <w:rPr>
          <w:rFonts w:eastAsia="Segoe UI" w:cs="Segoe UI"/>
          <w:lang w:val="sv-SE"/>
        </w:rPr>
        <w:t xml:space="preserve"> telaah semacam ini semakin mendesak seiring </w:t>
      </w:r>
      <w:r w:rsidR="00B44AD5">
        <w:rPr>
          <w:rFonts w:eastAsia="Segoe UI" w:cs="Segoe UI"/>
          <w:lang w:val="sv-SE"/>
        </w:rPr>
        <w:t xml:space="preserve">dengan </w:t>
      </w:r>
      <w:r w:rsidRPr="00423848">
        <w:rPr>
          <w:rFonts w:eastAsia="Segoe UI" w:cs="Segoe UI"/>
          <w:lang w:val="sv-SE"/>
        </w:rPr>
        <w:t xml:space="preserve">menguatnya kerangka pelaporan keberlanjutan dan </w:t>
      </w:r>
      <w:r w:rsidR="00B44AD5">
        <w:rPr>
          <w:rFonts w:eastAsia="Segoe UI" w:cs="Segoe UI"/>
          <w:lang w:val="sv-SE"/>
        </w:rPr>
        <w:t>meningkatnya</w:t>
      </w:r>
      <w:r w:rsidRPr="00423848">
        <w:rPr>
          <w:rFonts w:eastAsia="Segoe UI" w:cs="Segoe UI"/>
          <w:lang w:val="sv-SE"/>
        </w:rPr>
        <w:t xml:space="preserve"> perhatian terhadap praktik pemasaran hijau yang menyesatkan </w:t>
      </w:r>
      <w:r w:rsidR="004D7CF2">
        <w:rPr>
          <w:rFonts w:eastAsia="Segoe UI" w:cs="Segoe UI"/>
          <w:lang w:val="sv-SE"/>
        </w:rPr>
        <w:fldChar w:fldCharType="begin" w:fldLock="1"/>
      </w:r>
      <w:r w:rsidR="004D7CF2">
        <w:rPr>
          <w:rFonts w:eastAsia="Segoe UI" w:cs="Segoe UI"/>
          <w:lang w:val="sv-SE"/>
        </w:rPr>
        <w:instrText>ADDIN CSL_CITATION {"citationItems":[{"id":"ITEM-1","itemData":{"DOI":"10.1088/1755-1315/1270/1/012007","author":[{"dropping-particle":"","family":"Irawati","given":"","non-dropping-particle":"","parse-names":false,"suffix":""},{"dropping-particle":"","family":"Prananingtyas","given":"Paramita","non-dropping-particle":"","parse-names":false,"suffix":""},{"dropping-particle":"","family":"Wulan","given":"Retno Catur","non-dropping-particle":"","parse-names":false,"suffix":""}],"container-title":"IOP Conference Series: Earth and Environmental Science","id":"ITEM-1","issue":"1","issued":{"date-parts":[["2023"]]},"page":"12007","publisher":"IOP Publishing","title":"Regulation Urgency of the Misleading ``Greenwashing'' Marketing Concept in Indonesia","type":"article-journal","volume":"1270"},"uris":["http://www.mendeley.com/documents/?uuid=d4517903-c670-428f-a7b9-a0c79e0a326e"]}],"mendeley":{"formattedCitation":"(Irawati et al., 2023)","plainTextFormattedCitation":"(Irawati et al., 2023)","previouslyFormattedCitation":"(Irawati et al., 2023)"},"properties":{"noteIndex":0},"schema":"https://github.com/citation-style-language/schema/raw/master/csl-citation.json"}</w:instrText>
      </w:r>
      <w:r w:rsidR="004D7CF2">
        <w:rPr>
          <w:rFonts w:eastAsia="Segoe UI" w:cs="Segoe UI"/>
          <w:lang w:val="sv-SE"/>
        </w:rPr>
        <w:fldChar w:fldCharType="separate"/>
      </w:r>
      <w:r w:rsidR="004D7CF2" w:rsidRPr="004D7CF2">
        <w:rPr>
          <w:rFonts w:eastAsia="Segoe UI" w:cs="Segoe UI"/>
          <w:noProof/>
          <w:lang w:val="sv-SE"/>
        </w:rPr>
        <w:t xml:space="preserve">(Irawati </w:t>
      </w:r>
      <w:r w:rsidR="004D7CF2" w:rsidRPr="004D7CF2">
        <w:rPr>
          <w:rFonts w:eastAsia="Segoe UI" w:cs="Segoe UI"/>
          <w:i/>
          <w:iCs/>
          <w:noProof/>
          <w:lang w:val="sv-SE"/>
        </w:rPr>
        <w:t>et al</w:t>
      </w:r>
      <w:r w:rsidR="004D7CF2" w:rsidRPr="004D7CF2">
        <w:rPr>
          <w:rFonts w:eastAsia="Segoe UI" w:cs="Segoe UI"/>
          <w:noProof/>
          <w:lang w:val="sv-SE"/>
        </w:rPr>
        <w:t>., 2023)</w:t>
      </w:r>
      <w:r w:rsidR="004D7CF2">
        <w:rPr>
          <w:rFonts w:eastAsia="Segoe UI" w:cs="Segoe UI"/>
          <w:lang w:val="sv-SE"/>
        </w:rPr>
        <w:fldChar w:fldCharType="end"/>
      </w:r>
      <w:r w:rsidRPr="00423848">
        <w:rPr>
          <w:rFonts w:eastAsia="Segoe UI" w:cs="Segoe UI"/>
          <w:lang w:val="sv-SE"/>
        </w:rPr>
        <w:t xml:space="preserve">. Meskipun demikian, kajian </w:t>
      </w:r>
      <w:r w:rsidRPr="00423848">
        <w:rPr>
          <w:rFonts w:eastAsia="Segoe UI" w:cs="Segoe UI"/>
          <w:i/>
          <w:iCs/>
          <w:lang w:val="sv-SE"/>
        </w:rPr>
        <w:t>greenwashing</w:t>
      </w:r>
      <w:r w:rsidRPr="00423848">
        <w:rPr>
          <w:rFonts w:eastAsia="Segoe UI" w:cs="Segoe UI"/>
          <w:lang w:val="sv-SE"/>
        </w:rPr>
        <w:t xml:space="preserve"> di Indonesia masih didominasi </w:t>
      </w:r>
      <w:r w:rsidR="00B44AD5">
        <w:rPr>
          <w:rFonts w:eastAsia="Segoe UI" w:cs="Segoe UI"/>
          <w:lang w:val="sv-SE"/>
        </w:rPr>
        <w:t xml:space="preserve">oleh </w:t>
      </w:r>
      <w:r w:rsidRPr="00423848">
        <w:rPr>
          <w:rFonts w:eastAsia="Segoe UI" w:cs="Segoe UI"/>
          <w:lang w:val="sv-SE"/>
        </w:rPr>
        <w:t xml:space="preserve">pendekatan kepatuhan dan pengujian determinan pengungkapan </w:t>
      </w:r>
      <w:r w:rsidR="004D7CF2">
        <w:rPr>
          <w:rFonts w:eastAsia="Segoe UI" w:cs="Segoe UI"/>
          <w:lang w:val="sv-SE"/>
        </w:rPr>
        <w:fldChar w:fldCharType="begin" w:fldLock="1"/>
      </w:r>
      <w:r w:rsidR="00400B9E">
        <w:rPr>
          <w:rFonts w:eastAsia="Segoe UI" w:cs="Segoe UI"/>
          <w:lang w:val="sv-SE"/>
        </w:rPr>
        <w:instrText>ADDIN CSL_CITATION {"citationItems":[{"id":"ITEM-1","itemData":{"DOI":"10.1080/23311975.2024.2404236","ISSN":"null","author":[{"dropping-particle":"","family":"Purnamasari","given":"Pupung","non-dropping-particle":"","parse-names":false,"suffix":""},{"dropping-particle":"","family":"Umiyati","given":"Indah","non-dropping-particle":"","parse-names":false,"suffix":""}],"container-title":"Cogent Business &amp; Management","id":"ITEM-1","issue":"1","issued":{"date-parts":[["2024","12","31"]]},"note":"doi: 10.1080/23311975.2024.2404236","page":"2404236","publisher":"Cogent OA","title":"Greenwashing and financial performance of firms: the moderating role of internal audit quality and digital technologies","type":"article-journal","volume":"11"},"uris":["http://www.mendeley.com/documents/?uuid=b591b9e2-3b0d-4200-a47e-d15d36082c9a"]}],"mendeley":{"formattedCitation":"(Purnamasari &amp; Umiyati, 2024)","plainTextFormattedCitation":"(Purnamasari &amp; Umiyati, 2024)","previouslyFormattedCitation":"(Purnamasari &amp; Umiyati, 2024)"},"properties":{"noteIndex":0},"schema":"https://github.com/citation-style-language/schema/raw/master/csl-citation.json"}</w:instrText>
      </w:r>
      <w:r w:rsidR="004D7CF2">
        <w:rPr>
          <w:rFonts w:eastAsia="Segoe UI" w:cs="Segoe UI"/>
          <w:lang w:val="sv-SE"/>
        </w:rPr>
        <w:fldChar w:fldCharType="separate"/>
      </w:r>
      <w:r w:rsidR="004D7CF2" w:rsidRPr="004D7CF2">
        <w:rPr>
          <w:rFonts w:eastAsia="Segoe UI" w:cs="Segoe UI"/>
          <w:noProof/>
          <w:lang w:val="sv-SE"/>
        </w:rPr>
        <w:t>(Purnamasari &amp; Umiyati, 2024)</w:t>
      </w:r>
      <w:r w:rsidR="004D7CF2">
        <w:rPr>
          <w:rFonts w:eastAsia="Segoe UI" w:cs="Segoe UI"/>
          <w:lang w:val="sv-SE"/>
        </w:rPr>
        <w:fldChar w:fldCharType="end"/>
      </w:r>
      <w:r w:rsidRPr="00423848">
        <w:rPr>
          <w:rFonts w:eastAsia="Segoe UI" w:cs="Segoe UI"/>
          <w:lang w:val="sv-SE"/>
        </w:rPr>
        <w:t>, sementara telaah yang secara eksplisit membaca fenomena ini melalui kerangka akuntansi keperilakuan masih sangat terbatas. Padahal, akuntansi keperilakuan menyediakan perangkat konseptual yang tepat untuk menjelaskan mengapa penyusun laporan memilih menonjolkan sebagian informasi dan menyembunyikan sebagian lainnya. Kesenjangan inilah yang menjadi dasar penulisan artikel ini.</w:t>
      </w:r>
    </w:p>
    <w:p w14:paraId="0DB6A8F9" w14:textId="3623D324" w:rsidR="0015233D" w:rsidRDefault="0015233D" w:rsidP="00FE3BFB">
      <w:pPr>
        <w:spacing w:after="0" w:line="240" w:lineRule="auto"/>
        <w:ind w:left="567" w:right="78" w:firstLine="567"/>
        <w:rPr>
          <w:rFonts w:eastAsia="Segoe UI" w:cs="Segoe UI"/>
          <w:lang w:val="sv-SE"/>
        </w:rPr>
      </w:pPr>
      <w:r w:rsidRPr="00423848">
        <w:rPr>
          <w:rFonts w:eastAsia="Segoe UI" w:cs="Segoe UI"/>
          <w:lang w:val="sv-SE"/>
        </w:rPr>
        <w:lastRenderedPageBreak/>
        <w:t xml:space="preserve">Tujuan kajian ini adalah membangun pembacaan keperilakuan atas </w:t>
      </w:r>
      <w:r w:rsidRPr="00423848">
        <w:rPr>
          <w:rFonts w:eastAsia="Segoe UI" w:cs="Segoe UI"/>
          <w:i/>
          <w:iCs/>
          <w:lang w:val="sv-SE"/>
        </w:rPr>
        <w:t>greenwashing</w:t>
      </w:r>
      <w:r w:rsidRPr="00423848">
        <w:rPr>
          <w:rFonts w:eastAsia="Segoe UI" w:cs="Segoe UI"/>
          <w:lang w:val="sv-SE"/>
        </w:rPr>
        <w:t xml:space="preserve"> dalam pelaporan keberlanjutan, dengan menelaah pemicu perilakunya, memetakan taktik manajemen kesan yang digunakan, serta menjelaskan mekanisme rasionalisasi yang membuat praktik tersebut </w:t>
      </w:r>
      <w:r w:rsidR="00B026A9">
        <w:rPr>
          <w:rFonts w:eastAsia="Segoe UI" w:cs="Segoe UI"/>
          <w:lang w:val="sv-SE"/>
        </w:rPr>
        <w:t>tampak</w:t>
      </w:r>
      <w:r w:rsidRPr="00423848">
        <w:rPr>
          <w:rFonts w:eastAsia="Segoe UI" w:cs="Segoe UI"/>
          <w:lang w:val="sv-SE"/>
        </w:rPr>
        <w:t xml:space="preserve"> wajar bagi pelakunya. Secara teoretis, kajian ini memperluas ranah akuntansi keperilakuan dari wilayah tradisionalnya, yaitu penganggaran dan audit, </w:t>
      </w:r>
      <w:r w:rsidR="00B026A9">
        <w:rPr>
          <w:rFonts w:eastAsia="Segoe UI" w:cs="Segoe UI"/>
          <w:lang w:val="sv-SE"/>
        </w:rPr>
        <w:t>ke</w:t>
      </w:r>
      <w:r w:rsidRPr="00423848">
        <w:rPr>
          <w:rFonts w:eastAsia="Segoe UI" w:cs="Segoe UI"/>
          <w:lang w:val="sv-SE"/>
        </w:rPr>
        <w:t xml:space="preserve"> wilayah pelaporan keberlanjutan yang selama ini lebih banyak dianalisis dari perspektif legitimasi. Secara praktis, kajian ini menawarkan cara pandang baru bagi penyusun standar, praktisi </w:t>
      </w:r>
      <w:r w:rsidR="00B026A9">
        <w:rPr>
          <w:rFonts w:eastAsia="Segoe UI" w:cs="Segoe UI"/>
          <w:lang w:val="sv-SE"/>
        </w:rPr>
        <w:t>asuransi</w:t>
      </w:r>
      <w:r w:rsidRPr="00423848">
        <w:rPr>
          <w:rFonts w:eastAsia="Segoe UI" w:cs="Segoe UI"/>
          <w:lang w:val="sv-SE"/>
        </w:rPr>
        <w:t xml:space="preserve">, dan pendidik akuntansi bahwa upaya menekan </w:t>
      </w:r>
      <w:r w:rsidRPr="00423848">
        <w:rPr>
          <w:rFonts w:eastAsia="Segoe UI" w:cs="Segoe UI"/>
          <w:i/>
          <w:iCs/>
          <w:lang w:val="sv-SE"/>
        </w:rPr>
        <w:t>greenwashing</w:t>
      </w:r>
      <w:r w:rsidRPr="00423848">
        <w:rPr>
          <w:rFonts w:eastAsia="Segoe UI" w:cs="Segoe UI"/>
          <w:lang w:val="sv-SE"/>
        </w:rPr>
        <w:t xml:space="preserve"> menuntut intervensi pada perilaku, bukan sekadar pada format pelaporan.</w:t>
      </w:r>
    </w:p>
    <w:p w14:paraId="6B064DB6" w14:textId="77777777" w:rsidR="00FE3BFB" w:rsidRPr="00423848" w:rsidRDefault="00FE3BFB" w:rsidP="00FE3BFB">
      <w:pPr>
        <w:spacing w:after="0" w:line="240" w:lineRule="auto"/>
        <w:ind w:left="567" w:right="78" w:firstLine="567"/>
        <w:rPr>
          <w:lang w:val="sv-SE"/>
        </w:rPr>
      </w:pPr>
    </w:p>
    <w:p w14:paraId="53F3ECD2" w14:textId="5713000D" w:rsidR="00955050" w:rsidRPr="00B026A9" w:rsidRDefault="001C62FB" w:rsidP="00FE3BFB">
      <w:pPr>
        <w:pStyle w:val="Heading3"/>
        <w:spacing w:before="0"/>
        <w:ind w:left="1134" w:right="78" w:hanging="425"/>
        <w:rPr>
          <w:rStyle w:val="mediumtext"/>
        </w:rPr>
      </w:pPr>
      <w:r w:rsidRPr="001C62FB">
        <w:t>METOD</w:t>
      </w:r>
      <w:r w:rsidR="00B026A9">
        <w:t>E</w:t>
      </w:r>
      <w:r w:rsidRPr="001C62FB">
        <w:t xml:space="preserve"> PENELITIAN</w:t>
      </w:r>
      <w:r w:rsidR="001E0508" w:rsidRPr="001C62FB">
        <w:t xml:space="preserve"> </w:t>
      </w:r>
    </w:p>
    <w:p w14:paraId="554F5361" w14:textId="09EB9D00" w:rsidR="001C62FB" w:rsidRPr="00955050" w:rsidRDefault="001C62FB" w:rsidP="002F2804">
      <w:pPr>
        <w:pStyle w:val="Heading2"/>
        <w:spacing w:line="240" w:lineRule="auto"/>
        <w:ind w:right="78"/>
        <w:rPr>
          <w:rStyle w:val="mediumtext"/>
        </w:rPr>
      </w:pPr>
      <w:r w:rsidRPr="00955050">
        <w:rPr>
          <w:rStyle w:val="mediumtext"/>
        </w:rPr>
        <w:t xml:space="preserve">2.1 </w:t>
      </w:r>
      <w:r w:rsidR="00B026A9" w:rsidRPr="00B026A9">
        <w:rPr>
          <w:rFonts w:eastAsia="Segoe UI" w:cs="Segoe UI"/>
          <w:bCs/>
          <w:color w:val="000000"/>
          <w:szCs w:val="24"/>
          <w:lang w:val="sv-SE"/>
        </w:rPr>
        <w:t>Jenis dan Desain Kajian</w:t>
      </w:r>
    </w:p>
    <w:p w14:paraId="6F207FA2" w14:textId="04A5D52F" w:rsidR="00B026A9" w:rsidRDefault="00B026A9" w:rsidP="00FE3BFB">
      <w:pPr>
        <w:spacing w:after="0" w:line="240" w:lineRule="auto"/>
        <w:ind w:left="567" w:right="78" w:firstLine="567"/>
        <w:rPr>
          <w:rFonts w:eastAsia="Segoe UI" w:cs="Segoe UI"/>
          <w:lang w:val="sv-SE"/>
        </w:rPr>
      </w:pPr>
      <w:r w:rsidRPr="00423848">
        <w:rPr>
          <w:rFonts w:eastAsia="Segoe UI" w:cs="Segoe UI"/>
          <w:lang w:val="sv-SE"/>
        </w:rPr>
        <w:t>Kajian ini merupakan artikel konseptual (</w:t>
      </w:r>
      <w:r w:rsidRPr="00423848">
        <w:rPr>
          <w:rFonts w:eastAsia="Segoe UI" w:cs="Segoe UI"/>
          <w:i/>
          <w:iCs/>
          <w:lang w:val="sv-SE"/>
        </w:rPr>
        <w:t>conceptual paper</w:t>
      </w:r>
      <w:r w:rsidRPr="00423848">
        <w:rPr>
          <w:rFonts w:eastAsia="Segoe UI" w:cs="Segoe UI"/>
          <w:lang w:val="sv-SE"/>
        </w:rPr>
        <w:t xml:space="preserve">) yang disusun melalui telaah literatur kritis. Perlu ditegaskan sejak awal bahwa kajian ini tidak menggunakan data primer dan bukan merupakan tinjauan literatur sistematis, sehingga tidak mengklaim </w:t>
      </w:r>
      <w:r>
        <w:rPr>
          <w:rFonts w:eastAsia="Segoe UI" w:cs="Segoe UI"/>
          <w:lang w:val="sv-SE"/>
        </w:rPr>
        <w:t>cakupan yang lengkap sebagaimana lazim dituntut dalam</w:t>
      </w:r>
      <w:r w:rsidRPr="00423848">
        <w:rPr>
          <w:rFonts w:eastAsia="Segoe UI" w:cs="Segoe UI"/>
          <w:lang w:val="sv-SE"/>
        </w:rPr>
        <w:t xml:space="preserve"> prosedur penyaringan sistematis. Tujuan kajian </w:t>
      </w:r>
      <w:r>
        <w:rPr>
          <w:rFonts w:eastAsia="Segoe UI" w:cs="Segoe UI"/>
          <w:lang w:val="sv-SE"/>
        </w:rPr>
        <w:t xml:space="preserve">ini </w:t>
      </w:r>
      <w:r w:rsidRPr="00423848">
        <w:rPr>
          <w:rFonts w:eastAsia="Segoe UI" w:cs="Segoe UI"/>
          <w:lang w:val="sv-SE"/>
        </w:rPr>
        <w:t>bersifat membangun kerangka, yakni mempertemukan dua tubuh literatur yang selama ini berkembang terpisah, yaitu literatur pelaporan keberlanjutan dan literatur akuntansi keperilakuan, sehingga menghasilkan pembacaan baru atas sebuah fenomena beserta proposisi yang dapat diuji. Desain konseptual dipilih karena pertanyaan yang diajukan bersifat penjelasan, yakni mengapa jurang antara citra dan kenyataan bertahan, bukan pertanyaan pengukuran mengenai seberapa besar jurang tersebut.</w:t>
      </w:r>
    </w:p>
    <w:p w14:paraId="5785C998" w14:textId="77777777" w:rsidR="00B026A9" w:rsidRPr="00B026A9" w:rsidRDefault="00B026A9" w:rsidP="00FE3BFB">
      <w:pPr>
        <w:spacing w:after="0" w:line="240" w:lineRule="auto"/>
        <w:ind w:left="567" w:right="78" w:firstLine="567"/>
        <w:rPr>
          <w:rStyle w:val="mediumtext"/>
          <w:rFonts w:eastAsia="Segoe UI" w:cs="Segoe UI"/>
          <w:lang w:val="sv-SE"/>
        </w:rPr>
      </w:pPr>
    </w:p>
    <w:p w14:paraId="7FC21734" w14:textId="5A03AB93" w:rsidR="00955050" w:rsidRPr="001C62FB" w:rsidRDefault="00955050" w:rsidP="002F2804">
      <w:pPr>
        <w:pStyle w:val="Heading2"/>
        <w:tabs>
          <w:tab w:val="left" w:pos="9356"/>
        </w:tabs>
        <w:spacing w:before="0" w:line="240" w:lineRule="auto"/>
        <w:ind w:right="78"/>
        <w:rPr>
          <w:rStyle w:val="mediumtext"/>
          <w:rFonts w:cs="Segoe UI"/>
          <w:lang w:val="sv-SE"/>
        </w:rPr>
      </w:pPr>
      <w:r>
        <w:rPr>
          <w:rStyle w:val="mediumtext"/>
          <w:rFonts w:cs="Segoe UI"/>
          <w:lang w:val="sv-SE"/>
        </w:rPr>
        <w:t xml:space="preserve">2.2 </w:t>
      </w:r>
      <w:r w:rsidR="00360226" w:rsidRPr="00360226">
        <w:rPr>
          <w:rFonts w:eastAsia="Segoe UI" w:cs="Segoe UI"/>
          <w:bCs/>
          <w:color w:val="000000"/>
          <w:szCs w:val="24"/>
          <w:lang w:val="sv-SE"/>
        </w:rPr>
        <w:t>Pemilihan Literatur</w:t>
      </w:r>
    </w:p>
    <w:p w14:paraId="7758D84D" w14:textId="00C5AF00" w:rsidR="00360226" w:rsidRPr="00423848" w:rsidRDefault="00360226" w:rsidP="00FE3BFB">
      <w:pPr>
        <w:spacing w:after="0" w:line="240" w:lineRule="auto"/>
        <w:ind w:left="567" w:right="78" w:firstLine="567"/>
        <w:rPr>
          <w:lang w:val="sv-SE"/>
        </w:rPr>
      </w:pPr>
      <w:r w:rsidRPr="00423848">
        <w:rPr>
          <w:rFonts w:eastAsia="Segoe UI" w:cs="Segoe UI"/>
          <w:lang w:val="sv-SE"/>
        </w:rPr>
        <w:t xml:space="preserve">Literatur dipilih secara purposif </w:t>
      </w:r>
      <w:r>
        <w:rPr>
          <w:rFonts w:eastAsia="Segoe UI" w:cs="Segoe UI"/>
          <w:lang w:val="sv-SE"/>
        </w:rPr>
        <w:t>berdasarkan</w:t>
      </w:r>
      <w:r w:rsidRPr="00423848">
        <w:rPr>
          <w:rFonts w:eastAsia="Segoe UI" w:cs="Segoe UI"/>
          <w:lang w:val="sv-SE"/>
        </w:rPr>
        <w:t xml:space="preserve"> tiga kriteria. Pertama, sumber merupakan artikel pada jurnal ilmiah terindeks atau buku teks yang menjadi rujukan primer bagi konsep yang dibahas. Kedua, sumber membahas sekurang-kurangnya salah satu dari tiga wilayah, yaitu </w:t>
      </w:r>
      <w:r w:rsidRPr="00423848">
        <w:rPr>
          <w:rFonts w:eastAsia="Segoe UI" w:cs="Segoe UI"/>
          <w:i/>
          <w:iCs/>
          <w:lang w:val="sv-SE"/>
        </w:rPr>
        <w:t>greenwashing</w:t>
      </w:r>
      <w:r w:rsidRPr="00423848">
        <w:rPr>
          <w:rFonts w:eastAsia="Segoe UI" w:cs="Segoe UI"/>
          <w:lang w:val="sv-SE"/>
        </w:rPr>
        <w:t xml:space="preserve"> dan mutu pengungkapan keberlanjutan, manajemen kesan dalam pelaporan, atau teori perilaku yang menjelaskan pengambilan keputusan etis. Ketiga, sumber menyediakan bukti empiris atau kerangka teoretis yang dapat ditautkan secara langsung dengan argumen </w:t>
      </w:r>
      <w:r>
        <w:rPr>
          <w:rFonts w:eastAsia="Segoe UI" w:cs="Segoe UI"/>
          <w:lang w:val="sv-SE"/>
        </w:rPr>
        <w:t xml:space="preserve">dalam </w:t>
      </w:r>
      <w:r w:rsidRPr="00423848">
        <w:rPr>
          <w:rFonts w:eastAsia="Segoe UI" w:cs="Segoe UI"/>
          <w:lang w:val="sv-SE"/>
        </w:rPr>
        <w:t xml:space="preserve">kajian. Rujukan yang bersifat </w:t>
      </w:r>
      <w:r>
        <w:rPr>
          <w:rFonts w:eastAsia="Segoe UI" w:cs="Segoe UI"/>
          <w:lang w:val="sv-SE"/>
        </w:rPr>
        <w:t>fundasional</w:t>
      </w:r>
      <w:r w:rsidRPr="00423848">
        <w:rPr>
          <w:rFonts w:eastAsia="Segoe UI" w:cs="Segoe UI"/>
          <w:lang w:val="sv-SE"/>
        </w:rPr>
        <w:t xml:space="preserve"> tetap disertakan meskipun berusia lebih dari tujuh tahun, karena merupakan sumber asli konsep yang digunakan dan tidak tergantikan oleh publikasi yang lebih baru.</w:t>
      </w:r>
    </w:p>
    <w:p w14:paraId="36E02D67" w14:textId="77777777" w:rsidR="00B026A9" w:rsidRPr="00B026A9" w:rsidRDefault="00B026A9" w:rsidP="002F2804">
      <w:pPr>
        <w:pStyle w:val="IEEEParagraph"/>
        <w:tabs>
          <w:tab w:val="left" w:pos="9356"/>
        </w:tabs>
        <w:ind w:left="567" w:right="78" w:firstLine="567"/>
        <w:rPr>
          <w:rStyle w:val="mediumtext"/>
          <w:rFonts w:ascii="Segoe UI" w:hAnsi="Segoe UI" w:cs="Segoe UI"/>
          <w:sz w:val="22"/>
          <w:szCs w:val="22"/>
          <w:lang w:val="sv-SE"/>
        </w:rPr>
      </w:pPr>
    </w:p>
    <w:p w14:paraId="50A2C542" w14:textId="0F85D22B" w:rsidR="00955050" w:rsidRPr="001C62FB" w:rsidRDefault="00955050" w:rsidP="00FE3BFB">
      <w:pPr>
        <w:pStyle w:val="Heading2"/>
        <w:tabs>
          <w:tab w:val="left" w:pos="9356"/>
        </w:tabs>
        <w:spacing w:before="0" w:line="240" w:lineRule="auto"/>
        <w:ind w:right="78"/>
        <w:rPr>
          <w:rStyle w:val="mediumtext"/>
          <w:rFonts w:cs="Segoe UI"/>
          <w:lang w:val="sv-SE"/>
        </w:rPr>
      </w:pPr>
      <w:r>
        <w:rPr>
          <w:rStyle w:val="mediumtext"/>
          <w:rFonts w:cs="Segoe UI"/>
          <w:lang w:val="sv-SE"/>
        </w:rPr>
        <w:t xml:space="preserve">2.3 </w:t>
      </w:r>
      <w:r w:rsidR="00360226" w:rsidRPr="00360226">
        <w:rPr>
          <w:rFonts w:eastAsia="Segoe UI" w:cs="Segoe UI"/>
          <w:bCs/>
          <w:color w:val="000000"/>
          <w:szCs w:val="24"/>
          <w:lang w:val="sv-SE"/>
        </w:rPr>
        <w:t>Teknik Analisis</w:t>
      </w:r>
    </w:p>
    <w:p w14:paraId="56D87259" w14:textId="40C131C7" w:rsidR="00360226" w:rsidRPr="00423848" w:rsidRDefault="00360226" w:rsidP="002F2804">
      <w:pPr>
        <w:spacing w:after="120" w:line="240" w:lineRule="auto"/>
        <w:ind w:left="567" w:right="78" w:firstLine="567"/>
        <w:rPr>
          <w:lang w:val="sv-SE"/>
        </w:rPr>
      </w:pPr>
      <w:r w:rsidRPr="00423848">
        <w:rPr>
          <w:rFonts w:eastAsia="Segoe UI" w:cs="Segoe UI"/>
          <w:lang w:val="sv-SE"/>
        </w:rPr>
        <w:t>Analisis dilakukan melalui analisis isi (</w:t>
      </w:r>
      <w:r w:rsidRPr="00423848">
        <w:rPr>
          <w:rFonts w:eastAsia="Segoe UI" w:cs="Segoe UI"/>
          <w:i/>
          <w:iCs/>
          <w:lang w:val="sv-SE"/>
        </w:rPr>
        <w:t>content analysis</w:t>
      </w:r>
      <w:r w:rsidRPr="00423848">
        <w:rPr>
          <w:rFonts w:eastAsia="Segoe UI" w:cs="Segoe UI"/>
          <w:lang w:val="sv-SE"/>
        </w:rPr>
        <w:t xml:space="preserve">) yang dilanjutkan dengan sintesis tematik. Langkahnya terdiri atas tiga tahap. Tahap pertama adalah ekstraksi, yaitu menghimpun temuan empiris dan gagasan teoretis dari setiap sumber, termasuk konteks dan besaran </w:t>
      </w:r>
      <w:r>
        <w:rPr>
          <w:rFonts w:eastAsia="Segoe UI" w:cs="Segoe UI"/>
          <w:lang w:val="sv-SE"/>
        </w:rPr>
        <w:t>temuan tersebut</w:t>
      </w:r>
      <w:r w:rsidRPr="00423848">
        <w:rPr>
          <w:rFonts w:eastAsia="Segoe UI" w:cs="Segoe UI"/>
          <w:lang w:val="sv-SE"/>
        </w:rPr>
        <w:t xml:space="preserve">. Tahap kedua adalah pengelompokan tematik ke dalam tiga tema, yakni pemicu perilaku, taktik manajemen kesan, dan mekanisme rasionalisasi. Tahap ketiga adalah integrasi, yaitu menautkan tema-tema tersebut dengan kerangka segitiga kecurangan sebagaimana diadaptasi oleh </w:t>
      </w:r>
      <w:r w:rsidR="00400B9E">
        <w:rPr>
          <w:rFonts w:eastAsia="Segoe UI" w:cs="Segoe UI"/>
          <w:lang w:val="sv-SE"/>
        </w:rPr>
        <w:fldChar w:fldCharType="begin" w:fldLock="1"/>
      </w:r>
      <w:r w:rsidR="0097540B">
        <w:rPr>
          <w:rFonts w:eastAsia="Segoe UI" w:cs="Segoe UI"/>
          <w:lang w:val="sv-SE"/>
        </w:rPr>
        <w:instrText>ADDIN CSL_CITATION {"citationItems":[{"id":"ITEM-1","itemData":{"DOI":"10.1108/SAMPJ-10-2018-0272","ISSN":"2040-8021","abstract":"The purpose of this paper is to show a significant overlap in the models accounting research uses for fraud and the models other research disciplines use for greenwashing, and show how researchers and policymakers interested in the application of effective sustainability policy can draw from fraud accounting literature to better understand, and therefore, combat greenwashing. This is illustrated by showing multi-actor information-asymmetry models from other branches of accounting literature and synthesizing them with the fraud triangle model to suggest new avenues for reducing greenwashing and strengthening corporate social responsibility (CSR).This paper reviews the current literature surrounding the greenwashing aspect of corporate camouflage compares the legal and technical definitions of fraud and synthesizes a new variant fraud triangle that more usefully describes greenwashing.This paper is able to show that other areas of accounting research in North America have already tackled similar systems of multiple actors in an information-asymmetric environment and that a recurring trait is the emergence of a more robust reporting system. CSR reporting is currently in the process of emerging and could develop more swiftly by copying extant fraud-fighting tools. This is particularly salient given the increasing amount of liability legal regimes are giving to both sustainability activities and sustainability reporting from firms, as evidenced in both guidelines and scandals over the past decade.Sustainability reporting is not unique in comprising a large number of interrelated entities with non-financial information asymmetry between actors. Previous researchers have encountered similar situations in government accounting and public administration and developed network models to study these relationships as a result. In government accounting, this led to the development both of better diagnostic tools for further research and better models for local governments to use to prevent fraud and malfeasance. This paper suggests that using such research methods in the area of CSR will allow for the development of similarly-useful tools and models.Visualizing greenwashing as a form of fraud allows policymakers to use tools from the fraud-fighting literature to improve CSR reporting and produce a more robust regime in the future. As governments increasingly seek to respond effectively to material misstatements with an intent to deceive in sustainability reports, und…","author":[{"dropping-particle":"","family":"Kurpierz","given":"John Richard","non-dropping-particle":"","parse-names":false,"suffix":""},{"dropping-particle":"","family":"Smith","given":"Ken","non-dropping-particle":"","parse-names":false,"suffix":""}],"container-title":"Sustainability Accounting, Management and Policy Journal","id":"ITEM-1","issue":"6","issued":{"date-parts":[["2020","5","1"]]},"page":"1075-1093","title":"The greenwashing triangle: adapting tools from fraud to improve CSR reporting","type":"article-journal","volume":"11"},"uris":["http://www.mendeley.com/documents/?uuid=4ba08c74-abe6-49a0-933c-07ecdcdfc201"]}],"mendeley":{"formattedCitation":"(Kurpierz &amp; Smith, 2020)","manualFormatting":"Kurpierz &amp; Smith (2020)","plainTextFormattedCitation":"(Kurpierz &amp; Smith, 2020)","previouslyFormattedCitation":"(Kurpierz &amp; Smith, 2020)"},"properties":{"noteIndex":0},"schema":"https://github.com/citation-style-language/schema/raw/master/csl-citation.json"}</w:instrText>
      </w:r>
      <w:r w:rsidR="00400B9E">
        <w:rPr>
          <w:rFonts w:eastAsia="Segoe UI" w:cs="Segoe UI"/>
          <w:lang w:val="sv-SE"/>
        </w:rPr>
        <w:fldChar w:fldCharType="separate"/>
      </w:r>
      <w:r w:rsidR="00400B9E" w:rsidRPr="00400B9E">
        <w:rPr>
          <w:rFonts w:eastAsia="Segoe UI" w:cs="Segoe UI"/>
          <w:noProof/>
          <w:lang w:val="sv-SE"/>
        </w:rPr>
        <w:t xml:space="preserve">Kurpierz &amp; Smith </w:t>
      </w:r>
      <w:r w:rsidR="00E913FA">
        <w:rPr>
          <w:rFonts w:eastAsia="Segoe UI" w:cs="Segoe UI"/>
          <w:noProof/>
          <w:lang w:val="sv-SE"/>
        </w:rPr>
        <w:t>(</w:t>
      </w:r>
      <w:r w:rsidR="00400B9E" w:rsidRPr="00400B9E">
        <w:rPr>
          <w:rFonts w:eastAsia="Segoe UI" w:cs="Segoe UI"/>
          <w:noProof/>
          <w:lang w:val="sv-SE"/>
        </w:rPr>
        <w:t>2020)</w:t>
      </w:r>
      <w:r w:rsidR="00400B9E">
        <w:rPr>
          <w:rFonts w:eastAsia="Segoe UI" w:cs="Segoe UI"/>
          <w:lang w:val="sv-SE"/>
        </w:rPr>
        <w:fldChar w:fldCharType="end"/>
      </w:r>
      <w:r w:rsidR="00FE3BFB">
        <w:rPr>
          <w:rFonts w:eastAsia="Segoe UI" w:cs="Segoe UI"/>
          <w:lang w:val="sv-SE"/>
        </w:rPr>
        <w:t xml:space="preserve"> </w:t>
      </w:r>
      <w:r w:rsidRPr="00423848">
        <w:rPr>
          <w:rFonts w:eastAsia="Segoe UI" w:cs="Segoe UI"/>
          <w:lang w:val="sv-SE"/>
        </w:rPr>
        <w:t xml:space="preserve">lalu merumuskan proposisi yang dapat diuji secara empiris. Hasil tahap pertama disajikan secara ringkas pada Tabel 1 agar </w:t>
      </w:r>
      <w:r>
        <w:rPr>
          <w:rFonts w:eastAsia="Segoe UI" w:cs="Segoe UI"/>
          <w:lang w:val="sv-SE"/>
        </w:rPr>
        <w:t>pembaca dapat menelusuri dasar-dasar bukti kajian ini</w:t>
      </w:r>
      <w:r w:rsidRPr="00423848">
        <w:rPr>
          <w:rFonts w:eastAsia="Segoe UI" w:cs="Segoe UI"/>
          <w:lang w:val="sv-SE"/>
        </w:rPr>
        <w:t>.</w:t>
      </w:r>
    </w:p>
    <w:p w14:paraId="5048B019" w14:textId="77777777" w:rsidR="001C62FB" w:rsidRDefault="001C62FB" w:rsidP="002F2804">
      <w:pPr>
        <w:pStyle w:val="IEEEParagraph"/>
        <w:tabs>
          <w:tab w:val="left" w:pos="9356"/>
        </w:tabs>
        <w:ind w:left="567" w:right="78" w:firstLine="567"/>
        <w:rPr>
          <w:rStyle w:val="mediumtext"/>
          <w:rFonts w:ascii="Segoe UI" w:hAnsi="Segoe UI" w:cs="Segoe UI"/>
          <w:sz w:val="24"/>
          <w:lang w:val="sv-SE"/>
        </w:rPr>
      </w:pPr>
    </w:p>
    <w:p w14:paraId="273A4D19" w14:textId="2DC123E7" w:rsidR="006F0069" w:rsidRPr="0097540B" w:rsidRDefault="006F0069" w:rsidP="002F2804">
      <w:pPr>
        <w:pStyle w:val="Heading3"/>
        <w:ind w:left="1134" w:right="78" w:hanging="283"/>
      </w:pPr>
      <w:r w:rsidRPr="001C62FB">
        <w:rPr>
          <w:iCs/>
        </w:rPr>
        <w:t>HASIL DA</w:t>
      </w:r>
      <w:r w:rsidRPr="001C62FB">
        <w:t>N PEMBAHASAN</w:t>
      </w:r>
    </w:p>
    <w:p w14:paraId="1127A30F" w14:textId="45E1672A" w:rsidR="006F0069" w:rsidRDefault="006F0069" w:rsidP="002F2804">
      <w:pPr>
        <w:pStyle w:val="Heading2"/>
        <w:spacing w:line="240" w:lineRule="auto"/>
        <w:ind w:right="78"/>
        <w:rPr>
          <w:shd w:val="clear" w:color="auto" w:fill="FFFFFF"/>
        </w:rPr>
      </w:pPr>
      <w:r>
        <w:rPr>
          <w:shd w:val="clear" w:color="auto" w:fill="FFFFFF"/>
        </w:rPr>
        <w:t xml:space="preserve">3.1 </w:t>
      </w:r>
      <w:r w:rsidR="0097540B" w:rsidRPr="0097540B">
        <w:rPr>
          <w:rFonts w:eastAsia="Segoe UI" w:cs="Segoe UI"/>
          <w:bCs/>
          <w:color w:val="000000"/>
          <w:szCs w:val="24"/>
          <w:lang w:val="sv-SE"/>
        </w:rPr>
        <w:t>Greenwashing sebagai Persoalan Perilaku, Bukan Sekadar Persoalan Format</w:t>
      </w:r>
    </w:p>
    <w:p w14:paraId="3CB7D1D2" w14:textId="5AE64520" w:rsidR="0097540B" w:rsidRPr="00423848" w:rsidRDefault="0097540B" w:rsidP="002F2804">
      <w:pPr>
        <w:spacing w:after="120" w:line="240" w:lineRule="auto"/>
        <w:ind w:left="567" w:right="78" w:firstLine="567"/>
        <w:rPr>
          <w:lang w:val="sv-SE"/>
        </w:rPr>
      </w:pPr>
      <w:r w:rsidRPr="0097540B">
        <w:rPr>
          <w:rFonts w:eastAsia="Segoe UI" w:cs="Segoe UI"/>
          <w:i/>
          <w:iCs/>
        </w:rPr>
        <w:t>Greenwashing</w:t>
      </w:r>
      <w:r w:rsidRPr="0097540B">
        <w:rPr>
          <w:rFonts w:eastAsia="Segoe UI" w:cs="Segoe UI"/>
        </w:rPr>
        <w:t xml:space="preserve"> dipahami sebagai praktik menyampaikan klaim keberlanjutan yang menyesatkan, baik melalui pernyataan yang berlebihan maupun penghilangan informasi yang seharusnya diungkapkan </w:t>
      </w:r>
      <w:r>
        <w:rPr>
          <w:rFonts w:eastAsia="Segoe UI" w:cs="Segoe UI"/>
        </w:rPr>
        <w:fldChar w:fldCharType="begin" w:fldLock="1"/>
      </w:r>
      <w:r>
        <w:rPr>
          <w:rFonts w:eastAsia="Segoe UI" w:cs="Segoe UI"/>
        </w:rPr>
        <w:instrText>ADDIN CSL_CITATION {"citationItems":[{"id":"ITEM-1","itemData":{"DOI":"10.1186/s12302-020-0300-3","ISSN":"2190-4715","abstract":"The aggravation of environmental problems has led companies to seek the development and commercialization of green products. Some companies mislead their stakeholders through a phenomenon called greenwashing.","author":[{"dropping-particle":"","family":"Freitas Netto","given":"Sebastião Vieira","non-dropping-particle":"de","parse-names":false,"suffix":""},{"dropping-particle":"","family":"Sobral","given":"Marcos Felipe Falcão","non-dropping-particle":"","parse-names":false,"suffix":""},{"dropping-particle":"","family":"Ribeiro","given":"Ana Regina Bezerra","non-dropping-particle":"","parse-names":false,"suffix":""},{"dropping-particle":"","family":"Soares","given":"Gleibson Robert da Luz","non-dropping-particle":"","parse-names":false,"suffix":""}],"container-title":"Environmental Sciences Europe","id":"ITEM-1","issue":"1","issued":{"date-parts":[["2020"]]},"page":"19","title":"Concepts and forms of greenwashing: a systematic review","type":"article-journal","volume":"32"},"uris":["http://www.mendeley.com/documents/?uuid=19f55db2-129f-412b-8ced-ebb225569d4d"]}],"mendeley":{"formattedCitation":"(de Freitas Netto et al., 2020)","plainTextFormattedCitation":"(de Freitas Netto et al., 2020)","previouslyFormattedCitation":"(de Freitas Netto et al., 2020)"},"properties":{"noteIndex":0},"schema":"https://github.com/citation-style-language/schema/raw/master/csl-citation.json"}</w:instrText>
      </w:r>
      <w:r>
        <w:rPr>
          <w:rFonts w:eastAsia="Segoe UI" w:cs="Segoe UI"/>
        </w:rPr>
        <w:fldChar w:fldCharType="separate"/>
      </w:r>
      <w:r w:rsidRPr="0097540B">
        <w:rPr>
          <w:rFonts w:eastAsia="Segoe UI" w:cs="Segoe UI"/>
          <w:noProof/>
        </w:rPr>
        <w:t xml:space="preserve">(de Freitas Netto </w:t>
      </w:r>
      <w:r w:rsidRPr="0097540B">
        <w:rPr>
          <w:rFonts w:eastAsia="Segoe UI" w:cs="Segoe UI"/>
          <w:i/>
          <w:iCs/>
          <w:noProof/>
        </w:rPr>
        <w:t>et al</w:t>
      </w:r>
      <w:r w:rsidRPr="0097540B">
        <w:rPr>
          <w:rFonts w:eastAsia="Segoe UI" w:cs="Segoe UI"/>
          <w:noProof/>
        </w:rPr>
        <w:t>., 2020)</w:t>
      </w:r>
      <w:r>
        <w:rPr>
          <w:rFonts w:eastAsia="Segoe UI" w:cs="Segoe UI"/>
        </w:rPr>
        <w:fldChar w:fldCharType="end"/>
      </w:r>
      <w:r w:rsidRPr="0097540B">
        <w:rPr>
          <w:rFonts w:eastAsia="Segoe UI" w:cs="Segoe UI"/>
        </w:rPr>
        <w:t xml:space="preserve">. </w:t>
      </w:r>
      <w:r w:rsidRPr="00423848">
        <w:rPr>
          <w:rFonts w:eastAsia="Segoe UI" w:cs="Segoe UI"/>
          <w:lang w:val="sv-SE"/>
        </w:rPr>
        <w:t xml:space="preserve">Definisi ini penting karena menegaskan bahwa </w:t>
      </w:r>
      <w:r w:rsidRPr="00423848">
        <w:rPr>
          <w:rFonts w:eastAsia="Segoe UI" w:cs="Segoe UI"/>
          <w:i/>
          <w:iCs/>
          <w:lang w:val="sv-SE"/>
        </w:rPr>
        <w:t>greenwashing</w:t>
      </w:r>
      <w:r w:rsidRPr="00423848">
        <w:rPr>
          <w:rFonts w:eastAsia="Segoe UI" w:cs="Segoe UI"/>
          <w:lang w:val="sv-SE"/>
        </w:rPr>
        <w:t xml:space="preserve"> tidak selalu berupa kebohongan </w:t>
      </w:r>
      <w:r>
        <w:rPr>
          <w:rFonts w:eastAsia="Segoe UI" w:cs="Segoe UI"/>
          <w:lang w:val="sv-SE"/>
        </w:rPr>
        <w:t xml:space="preserve">yang </w:t>
      </w:r>
      <w:r w:rsidRPr="00423848">
        <w:rPr>
          <w:rFonts w:eastAsia="Segoe UI" w:cs="Segoe UI"/>
          <w:lang w:val="sv-SE"/>
        </w:rPr>
        <w:t xml:space="preserve">eksplisit. Sebagian besar justru bekerja melalui pilihan, yakni apa yang ditonjolkan, apa yang diperhalus, dan apa yang dibiarkan tidak </w:t>
      </w:r>
      <w:r>
        <w:rPr>
          <w:rFonts w:eastAsia="Segoe UI" w:cs="Segoe UI"/>
          <w:lang w:val="sv-SE"/>
        </w:rPr>
        <w:t>terungkap</w:t>
      </w:r>
      <w:r w:rsidRPr="00423848">
        <w:rPr>
          <w:rFonts w:eastAsia="Segoe UI" w:cs="Segoe UI"/>
          <w:lang w:val="sv-SE"/>
        </w:rPr>
        <w:t>. Setiap pilihan tersebut merupakan keputusan manusia dan setiap keputusan manusia berada dalam wilayah kajian akuntansi keperilakuan.</w:t>
      </w:r>
    </w:p>
    <w:p w14:paraId="72F93529" w14:textId="7D9557EF" w:rsidR="0097540B" w:rsidRDefault="0097540B" w:rsidP="00FE3BFB">
      <w:pPr>
        <w:spacing w:after="0" w:line="240" w:lineRule="auto"/>
        <w:ind w:left="567" w:right="78" w:firstLine="567"/>
        <w:rPr>
          <w:rFonts w:eastAsia="Segoe UI" w:cs="Segoe UI"/>
          <w:lang w:val="sv-SE"/>
        </w:rPr>
      </w:pPr>
      <w:r w:rsidRPr="00423848">
        <w:rPr>
          <w:rFonts w:eastAsia="Segoe UI" w:cs="Segoe UI"/>
          <w:lang w:val="sv-SE"/>
        </w:rPr>
        <w:t xml:space="preserve">Di sinilah letak pergeseran cara pandang yang ditawarkan </w:t>
      </w:r>
      <w:r>
        <w:rPr>
          <w:rFonts w:eastAsia="Segoe UI" w:cs="Segoe UI"/>
          <w:lang w:val="sv-SE"/>
        </w:rPr>
        <w:t xml:space="preserve">oleh </w:t>
      </w:r>
      <w:r w:rsidRPr="00423848">
        <w:rPr>
          <w:rFonts w:eastAsia="Segoe UI" w:cs="Segoe UI"/>
          <w:lang w:val="sv-SE"/>
        </w:rPr>
        <w:t xml:space="preserve">kajian ini. Apabila </w:t>
      </w:r>
      <w:r w:rsidRPr="00423848">
        <w:rPr>
          <w:rFonts w:eastAsia="Segoe UI" w:cs="Segoe UI"/>
          <w:i/>
          <w:iCs/>
          <w:lang w:val="sv-SE"/>
        </w:rPr>
        <w:t>greenwashing</w:t>
      </w:r>
      <w:r w:rsidRPr="00423848">
        <w:rPr>
          <w:rFonts w:eastAsia="Segoe UI" w:cs="Segoe UI"/>
          <w:lang w:val="sv-SE"/>
        </w:rPr>
        <w:t xml:space="preserve"> dianggap sebagai kegagalan format, maka solusinya adalah menyempurnakan format</w:t>
      </w:r>
      <w:r>
        <w:rPr>
          <w:rFonts w:eastAsia="Segoe UI" w:cs="Segoe UI"/>
          <w:lang w:val="sv-SE"/>
        </w:rPr>
        <w:t xml:space="preserve"> tersebut</w:t>
      </w:r>
      <w:r w:rsidRPr="00423848">
        <w:rPr>
          <w:rFonts w:eastAsia="Segoe UI" w:cs="Segoe UI"/>
          <w:lang w:val="sv-SE"/>
        </w:rPr>
        <w:t>. Namun</w:t>
      </w:r>
      <w:r>
        <w:rPr>
          <w:rFonts w:eastAsia="Segoe UI" w:cs="Segoe UI"/>
          <w:lang w:val="sv-SE"/>
        </w:rPr>
        <w:t>,</w:t>
      </w:r>
      <w:r w:rsidRPr="00423848">
        <w:rPr>
          <w:rFonts w:eastAsia="Segoe UI" w:cs="Segoe UI"/>
          <w:lang w:val="sv-SE"/>
        </w:rPr>
        <w:t xml:space="preserve"> temuan </w:t>
      </w:r>
      <w:r>
        <w:rPr>
          <w:rFonts w:eastAsia="Segoe UI" w:cs="Segoe UI"/>
          <w:lang w:val="sv-SE"/>
        </w:rPr>
        <w:fldChar w:fldCharType="begin" w:fldLock="1"/>
      </w:r>
      <w:r>
        <w:rPr>
          <w:rFonts w:eastAsia="Segoe UI" w:cs="Segoe UI"/>
          <w:lang w:val="sv-SE"/>
        </w:rPr>
        <w:instrText>ADDIN CSL_CITATION {"citationItems":[{"id":"ITEM-1","itemData":{"DOI":"10.3390/su17188342","ISBN":"2071-1050","abstract":"The current study examined the impression management gap between sustainability and management reports, which in this study serves as a proxy for greenwashing in sustainability reporting. The study sample comprised 192 reports from 24 companies, covering the period 2020–2023. Impression management gaps were estimated across four dimensions—tone, analytical thinking, authenticity, and clout—using textual analysis with the Linguistic Inquiry Word Count software. Our findings reveal significant impression management gaps for tone, clout, and analytics dimensions throughout the entire research sample, confirming a more pronounced use of impression management techniques in sustainability reporting. Despite increasing regulatory pressure during the study period, the calculated gaps did not show signs of decreasing. The results further indicate a high likelihood of greenwashing in the Services and Manufacturing sectors, and a lower likelihood in the Utilities sector. Such gaps risk misleading stakeholders by shaping perceptions that diverge from a company’s actual sustainability practices. Our findings suggest that greenwashing can be effectively detected through textual analysis of disclosures, particularly when conducting comparative studies between different reports. Building on these results, we argue that targeted reporting standards, advanced assurance methodologies, and clearer boundaries for impression management are essential to curbing greenwashing and strengthening the integrity of sustainability communication.","author":[{"dropping-particle":"","family":"Sneideriene","given":"Agne","non-dropping-particle":"","parse-names":false,"suffix":""},{"dropping-particle":"","family":"Legenzova","given":"Renata","non-dropping-particle":"","parse-names":false,"suffix":""}],"container-title":"Sustainability","id":"ITEM-1","issue":"18","issued":{"date-parts":[["2025"]]},"page":"8342","title":"Uncovering Greenwashing: Investigating Impression Management Gap in Corporate Reporting","type":"article","volume":"17"},"uris":["http://www.mendeley.com/documents/?uuid=ae0cda7e-8795-4783-a93d-a477d047e94d"]}],"mendeley":{"formattedCitation":"(Sneideriene &amp; Legenzova, 2025)","manualFormatting":"Sneideriene &amp; Legenzova (2025)","plainTextFormattedCitation":"(Sneideriene &amp; Legenzova, 2025)","previouslyFormattedCitation":"(Sneideriene &amp; Legenzova, 2025)"},"properties":{"noteIndex":0},"schema":"https://github.com/citation-style-language/schema/raw/master/csl-citation.json"}</w:instrText>
      </w:r>
      <w:r>
        <w:rPr>
          <w:rFonts w:eastAsia="Segoe UI" w:cs="Segoe UI"/>
          <w:lang w:val="sv-SE"/>
        </w:rPr>
        <w:fldChar w:fldCharType="separate"/>
      </w:r>
      <w:r w:rsidRPr="0097540B">
        <w:rPr>
          <w:rFonts w:eastAsia="Segoe UI" w:cs="Segoe UI"/>
          <w:noProof/>
          <w:lang w:val="sv-SE"/>
        </w:rPr>
        <w:t xml:space="preserve">Sneideriene &amp; Legenzova </w:t>
      </w:r>
      <w:r>
        <w:rPr>
          <w:rFonts w:eastAsia="Segoe UI" w:cs="Segoe UI"/>
          <w:noProof/>
          <w:lang w:val="sv-SE"/>
        </w:rPr>
        <w:t>(</w:t>
      </w:r>
      <w:r w:rsidRPr="0097540B">
        <w:rPr>
          <w:rFonts w:eastAsia="Segoe UI" w:cs="Segoe UI"/>
          <w:noProof/>
          <w:lang w:val="sv-SE"/>
        </w:rPr>
        <w:t>2025)</w:t>
      </w:r>
      <w:r>
        <w:rPr>
          <w:rFonts w:eastAsia="Segoe UI" w:cs="Segoe UI"/>
          <w:lang w:val="sv-SE"/>
        </w:rPr>
        <w:fldChar w:fldCharType="end"/>
      </w:r>
      <w:r w:rsidRPr="00423848">
        <w:rPr>
          <w:rFonts w:eastAsia="Segoe UI" w:cs="Segoe UI"/>
          <w:lang w:val="sv-SE"/>
        </w:rPr>
        <w:t xml:space="preserve"> </w:t>
      </w:r>
      <w:r>
        <w:rPr>
          <w:rFonts w:eastAsia="Segoe UI" w:cs="Segoe UI"/>
          <w:lang w:val="sv-SE"/>
        </w:rPr>
        <w:t>menunjukkan bahwa jurang manajemen kesan tetap bertahan meskipun tekanan regulasi meningkat, dengan kecenderungan yang lebih tinggi di</w:t>
      </w:r>
      <w:r w:rsidRPr="00423848">
        <w:rPr>
          <w:rFonts w:eastAsia="Segoe UI" w:cs="Segoe UI"/>
          <w:lang w:val="sv-SE"/>
        </w:rPr>
        <w:t xml:space="preserve"> sektor jasa dan manufaktur. Ketahanan jurang tersebut sulit dijelaskan </w:t>
      </w:r>
      <w:r>
        <w:rPr>
          <w:rFonts w:eastAsia="Segoe UI" w:cs="Segoe UI"/>
          <w:lang w:val="sv-SE"/>
        </w:rPr>
        <w:t>hanya dengan</w:t>
      </w:r>
      <w:r w:rsidRPr="00423848">
        <w:rPr>
          <w:rFonts w:eastAsia="Segoe UI" w:cs="Segoe UI"/>
          <w:lang w:val="sv-SE"/>
        </w:rPr>
        <w:t xml:space="preserve"> kerangka kepatuhan semata. Penjelasan yang lebih memadai adalah bahwa terdapat dorongan </w:t>
      </w:r>
      <w:r>
        <w:rPr>
          <w:rFonts w:eastAsia="Segoe UI" w:cs="Segoe UI"/>
          <w:lang w:val="sv-SE"/>
        </w:rPr>
        <w:t>perilaku</w:t>
      </w:r>
      <w:r w:rsidRPr="00423848">
        <w:rPr>
          <w:rFonts w:eastAsia="Segoe UI" w:cs="Segoe UI"/>
          <w:lang w:val="sv-SE"/>
        </w:rPr>
        <w:t xml:space="preserve"> yang bekerja secara konsisten, yang tidak hilang hanya karena aturan diperketat. Perspektif serupa telah lama berkembang dalam akuntansi keuangan, ketika riset keperilakuan menunjukkan bahwa pengguna dan penyusun informasi tidak selalu bertindak sepenuhnya rasional </w:t>
      </w:r>
      <w:r>
        <w:rPr>
          <w:rFonts w:eastAsia="Segoe UI" w:cs="Segoe UI"/>
          <w:lang w:val="sv-SE"/>
        </w:rPr>
        <w:fldChar w:fldCharType="begin" w:fldLock="1"/>
      </w:r>
      <w:r w:rsidR="005F3FC0">
        <w:rPr>
          <w:rFonts w:eastAsia="Segoe UI" w:cs="Segoe UI"/>
          <w:lang w:val="sv-SE"/>
        </w:rPr>
        <w:instrText>ADDIN CSL_CITATION {"citationItems":[{"id":"ITEM-1","itemData":{"DOI":"10.1111/1911-3846.12739","author":[{"dropping-particle":"","family":"Hanlon","given":"Michelle","non-dropping-particle":"","parse-names":false,"suffix":""},{"dropping-particle":"","family":"Yeung","given":"Kelvin","non-dropping-particle":"","parse-names":false,"suffix":""},{"dropping-particle":"","family":"Zuo","given":"Luo","non-dropping-particle":"","parse-names":false,"suffix":""}],"container-title":"Contemporary Accounting Research","id":"ITEM-1","issue":"2","issued":{"date-parts":[["2022"]]},"page":"1150-1214","publisher":"Wiley","title":"Behavioral Economics of Accounting: A Review of Archival Research on Individual Decision Makers*","type":"article-journal","volume":"39"},"uris":["http://www.mendeley.com/documents/?uuid=676e03a4-9625-48cf-a78d-624f3b54b89d"]}],"mendeley":{"formattedCitation":"(Hanlon et al., 2022)","plainTextFormattedCitation":"(Hanlon et al., 2022)","previouslyFormattedCitation":"(Hanlon et al., 2022)"},"properties":{"noteIndex":0},"schema":"https://github.com/citation-style-language/schema/raw/master/csl-citation.json"}</w:instrText>
      </w:r>
      <w:r>
        <w:rPr>
          <w:rFonts w:eastAsia="Segoe UI" w:cs="Segoe UI"/>
          <w:lang w:val="sv-SE"/>
        </w:rPr>
        <w:fldChar w:fldCharType="separate"/>
      </w:r>
      <w:r w:rsidRPr="0097540B">
        <w:rPr>
          <w:rFonts w:eastAsia="Segoe UI" w:cs="Segoe UI"/>
          <w:noProof/>
          <w:lang w:val="sv-SE"/>
        </w:rPr>
        <w:t xml:space="preserve">(Hanlon </w:t>
      </w:r>
      <w:r w:rsidRPr="0097540B">
        <w:rPr>
          <w:rFonts w:eastAsia="Segoe UI" w:cs="Segoe UI"/>
          <w:i/>
          <w:iCs/>
          <w:noProof/>
          <w:lang w:val="sv-SE"/>
        </w:rPr>
        <w:t>et al</w:t>
      </w:r>
      <w:r w:rsidRPr="0097540B">
        <w:rPr>
          <w:rFonts w:eastAsia="Segoe UI" w:cs="Segoe UI"/>
          <w:noProof/>
          <w:lang w:val="sv-SE"/>
        </w:rPr>
        <w:t>., 2022)</w:t>
      </w:r>
      <w:r>
        <w:rPr>
          <w:rFonts w:eastAsia="Segoe UI" w:cs="Segoe UI"/>
          <w:lang w:val="sv-SE"/>
        </w:rPr>
        <w:fldChar w:fldCharType="end"/>
      </w:r>
      <w:r w:rsidRPr="00423848">
        <w:rPr>
          <w:rFonts w:eastAsia="Segoe UI" w:cs="Segoe UI"/>
          <w:lang w:val="sv-SE"/>
        </w:rPr>
        <w:t>.</w:t>
      </w:r>
    </w:p>
    <w:p w14:paraId="6B03C6C7" w14:textId="77777777" w:rsidR="00660472" w:rsidRPr="00423848" w:rsidRDefault="00660472" w:rsidP="00FE3BFB">
      <w:pPr>
        <w:spacing w:after="0" w:line="240" w:lineRule="auto"/>
        <w:ind w:left="567" w:right="78" w:firstLine="567"/>
        <w:rPr>
          <w:lang w:val="sv-SE"/>
        </w:rPr>
      </w:pPr>
    </w:p>
    <w:p w14:paraId="2E33B0FF" w14:textId="77777777" w:rsidR="00660472" w:rsidRPr="00423848" w:rsidRDefault="00660472" w:rsidP="00FE3BFB">
      <w:pPr>
        <w:spacing w:after="60" w:line="240" w:lineRule="auto"/>
        <w:ind w:left="567" w:right="78"/>
        <w:jc w:val="center"/>
        <w:rPr>
          <w:lang w:val="sv-SE"/>
        </w:rPr>
      </w:pPr>
      <w:r w:rsidRPr="00423848">
        <w:rPr>
          <w:rFonts w:eastAsia="Segoe UI" w:cs="Segoe UI"/>
          <w:b/>
          <w:bCs/>
          <w:sz w:val="20"/>
          <w:szCs w:val="20"/>
          <w:lang w:val="sv-SE"/>
        </w:rPr>
        <w:t xml:space="preserve">Tabel 1. </w:t>
      </w:r>
      <w:r w:rsidRPr="00423848">
        <w:rPr>
          <w:rFonts w:eastAsia="Segoe UI" w:cs="Segoe UI"/>
          <w:sz w:val="20"/>
          <w:szCs w:val="20"/>
          <w:lang w:val="sv-SE"/>
        </w:rPr>
        <w:t>Sintesis Bukti Empiris Terdahulu mengenai Jurang Citra dan Kenyataan</w:t>
      </w:r>
    </w:p>
    <w:tbl>
      <w:tblPr>
        <w:tblW w:w="9579"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900"/>
        <w:gridCol w:w="4779"/>
      </w:tblGrid>
      <w:tr w:rsidR="00660472" w14:paraId="10B77E46" w14:textId="77777777" w:rsidTr="006C6999">
        <w:tblPrEx>
          <w:tblCellMar>
            <w:top w:w="0" w:type="dxa"/>
            <w:bottom w:w="0" w:type="dxa"/>
          </w:tblCellMar>
        </w:tblPrEx>
        <w:trPr>
          <w:tblHeader/>
        </w:trPr>
        <w:tc>
          <w:tcPr>
            <w:tcW w:w="1900" w:type="dxa"/>
            <w:tcBorders>
              <w:top w:val="single" w:sz="4" w:space="0" w:color="000000"/>
              <w:left w:val="nil"/>
              <w:bottom w:val="single" w:sz="4" w:space="0" w:color="000000"/>
              <w:right w:val="nil"/>
            </w:tcBorders>
          </w:tcPr>
          <w:p w14:paraId="101A01E8" w14:textId="77777777" w:rsidR="00660472" w:rsidRDefault="00660472" w:rsidP="002F2804">
            <w:pPr>
              <w:spacing w:after="20" w:line="240" w:lineRule="auto"/>
              <w:ind w:left="69" w:right="78"/>
              <w:jc w:val="left"/>
            </w:pPr>
            <w:r>
              <w:rPr>
                <w:rFonts w:eastAsia="Segoe UI" w:cs="Segoe UI"/>
                <w:b/>
                <w:bCs/>
                <w:sz w:val="18"/>
                <w:szCs w:val="18"/>
              </w:rPr>
              <w:t>Sumber</w:t>
            </w:r>
          </w:p>
        </w:tc>
        <w:tc>
          <w:tcPr>
            <w:tcW w:w="2900" w:type="dxa"/>
            <w:tcBorders>
              <w:top w:val="single" w:sz="4" w:space="0" w:color="000000"/>
              <w:left w:val="nil"/>
              <w:bottom w:val="single" w:sz="4" w:space="0" w:color="000000"/>
              <w:right w:val="nil"/>
            </w:tcBorders>
          </w:tcPr>
          <w:p w14:paraId="50C7CE8A" w14:textId="77777777" w:rsidR="00660472" w:rsidRDefault="00660472" w:rsidP="002F2804">
            <w:pPr>
              <w:spacing w:after="20" w:line="240" w:lineRule="auto"/>
              <w:ind w:left="295" w:right="78"/>
              <w:jc w:val="left"/>
            </w:pPr>
            <w:r>
              <w:rPr>
                <w:rFonts w:eastAsia="Segoe UI" w:cs="Segoe UI"/>
                <w:b/>
                <w:bCs/>
                <w:sz w:val="18"/>
                <w:szCs w:val="18"/>
              </w:rPr>
              <w:t>Konteks dan Sampel</w:t>
            </w:r>
          </w:p>
        </w:tc>
        <w:tc>
          <w:tcPr>
            <w:tcW w:w="4779" w:type="dxa"/>
            <w:tcBorders>
              <w:top w:val="single" w:sz="4" w:space="0" w:color="000000"/>
              <w:left w:val="nil"/>
              <w:bottom w:val="single" w:sz="4" w:space="0" w:color="000000"/>
              <w:right w:val="nil"/>
            </w:tcBorders>
          </w:tcPr>
          <w:p w14:paraId="1C4B52E3" w14:textId="77777777" w:rsidR="00660472" w:rsidRDefault="00660472" w:rsidP="002F2804">
            <w:pPr>
              <w:spacing w:after="20" w:line="240" w:lineRule="auto"/>
              <w:ind w:left="372" w:right="78"/>
              <w:jc w:val="left"/>
            </w:pPr>
            <w:r>
              <w:rPr>
                <w:rFonts w:eastAsia="Segoe UI" w:cs="Segoe UI"/>
                <w:b/>
                <w:bCs/>
                <w:sz w:val="18"/>
                <w:szCs w:val="18"/>
              </w:rPr>
              <w:t>Temuan Utama</w:t>
            </w:r>
          </w:p>
        </w:tc>
      </w:tr>
      <w:tr w:rsidR="00660472" w:rsidRPr="00423848" w14:paraId="25442273" w14:textId="77777777" w:rsidTr="006C6999">
        <w:tblPrEx>
          <w:tblCellMar>
            <w:top w:w="0" w:type="dxa"/>
            <w:bottom w:w="0" w:type="dxa"/>
          </w:tblCellMar>
        </w:tblPrEx>
        <w:tc>
          <w:tcPr>
            <w:tcW w:w="1900" w:type="dxa"/>
            <w:tcBorders>
              <w:top w:val="single" w:sz="4" w:space="0" w:color="000000"/>
              <w:left w:val="nil"/>
              <w:bottom w:val="nil"/>
              <w:right w:val="nil"/>
            </w:tcBorders>
          </w:tcPr>
          <w:p w14:paraId="6A73F28F" w14:textId="13368613" w:rsidR="00660472" w:rsidRPr="005F3FC0" w:rsidRDefault="005F3FC0" w:rsidP="002F2804">
            <w:pPr>
              <w:spacing w:after="20" w:line="240" w:lineRule="auto"/>
              <w:ind w:left="69" w:right="78"/>
              <w:rPr>
                <w:b/>
                <w:bCs/>
              </w:rPr>
            </w:pPr>
            <w:r w:rsidRPr="005F3FC0">
              <w:rPr>
                <w:rFonts w:eastAsia="Segoe UI" w:cs="Segoe UI"/>
                <w:b/>
                <w:bCs/>
                <w:sz w:val="18"/>
                <w:szCs w:val="18"/>
              </w:rPr>
              <w:fldChar w:fldCharType="begin" w:fldLock="1"/>
            </w:r>
            <w:r>
              <w:rPr>
                <w:rFonts w:eastAsia="Segoe UI" w:cs="Segoe UI"/>
                <w:b/>
                <w:bCs/>
                <w:sz w:val="18"/>
                <w:szCs w:val="18"/>
              </w:rPr>
              <w:instrText>ADDIN CSL_CITATION {"citationItems":[{"id":"ITEM-1","itemData":{"DOI":"10.1108/AAAJ-01-2018-3330","ISSN":"1368-0668","abstract":"This study explores the quality of sustainability reporting (QSR) and the impact of regulatory guidelines, social performance and a standardised reporting framework (using the Global Reporting Initiative [GRI] guidelines) on QSR in the context of banks in Bangladesh.Using a sample of 315 banking firm-year observations over 13 years (2002–2014), a content analysis technique is used to develop the 11-item QSR index. Regression analysis is used to test the research hypotheses.Initially, QSR evolved symbolically in Bangladesh's banks but, over our investigation period, with QSR indicators gradually improving, the trends became substantive. The influences on QSR were sustainable banking practice regulatory guidelines, social performance and use of the GRI guidelines. However, until banks improve reporting information, such as external verification and trends over time, QSR cannot be regarded as fully substantive.This study advances QSR research and debate among academic researchers. With regulatory agencies and stakeholders increasingly using sustainability reporting information for decision making, the information's quality is vital.This study is the first on QSR in the banking industry context, with previous research mostly investigating the quantity of sustainability reporting. The current study also synthesises QSR with sustainability regulation and social performance factors which have rarely been used in the sustainability literature. To gain a holistic understanding of QSR, existing QSR measures are advanced by combining external reporting efforts with banks' internalisation initiatives.","author":[{"dropping-particle":"","family":"Khan","given":"Habib Zaman","non-dropping-particle":"","parse-names":false,"suffix":""},{"dropping-particle":"","family":"Bose","given":"Sudipta","non-dropping-particle":"","parse-names":false,"suffix":""},{"dropping-particle":"","family":"Mollik","given":"Abu Taher","non-dropping-particle":"","parse-names":false,"suffix":""},{"dropping-particle":"","family":"Harun","given":"Harun","non-dropping-particle":"","parse-names":false,"suffix":""}],"container-title":"Accounting, Auditing &amp; Accountability Journal","id":"ITEM-1","issue":"2","issued":{"date-parts":[["2020","11","9"]]},"page":"338-369","title":"“Green washing” or “authentic effort”? An empirical investigation of the quality of sustainability reporting by banks","type":"article-journal","volume":"34"},"uris":["http://www.mendeley.com/documents/?uuid=c983a151-cfc7-4109-94e4-fb4345930231"]}],"mendeley":{"formattedCitation":"(Khan et al., 2020)","manualFormatting":"Khan et al. (2020)","plainTextFormattedCitation":"(Khan et al., 2020)","previouslyFormattedCitation":"(Khan et al., 2020)"},"properties":{"noteIndex":0},"schema":"https://github.com/citation-style-language/schema/raw/master/csl-citation.json"}</w:instrText>
            </w:r>
            <w:r w:rsidRPr="005F3FC0">
              <w:rPr>
                <w:rFonts w:eastAsia="Segoe UI" w:cs="Segoe UI"/>
                <w:b/>
                <w:bCs/>
                <w:sz w:val="18"/>
                <w:szCs w:val="18"/>
              </w:rPr>
              <w:fldChar w:fldCharType="separate"/>
            </w:r>
            <w:r w:rsidRPr="005F3FC0">
              <w:rPr>
                <w:rFonts w:eastAsia="Segoe UI" w:cs="Segoe UI"/>
                <w:b/>
                <w:bCs/>
                <w:noProof/>
                <w:sz w:val="18"/>
                <w:szCs w:val="18"/>
              </w:rPr>
              <w:t xml:space="preserve">Khan </w:t>
            </w:r>
            <w:r w:rsidRPr="005F3FC0">
              <w:rPr>
                <w:rFonts w:eastAsia="Segoe UI" w:cs="Segoe UI"/>
                <w:b/>
                <w:bCs/>
                <w:i/>
                <w:iCs/>
                <w:noProof/>
                <w:sz w:val="18"/>
                <w:szCs w:val="18"/>
              </w:rPr>
              <w:t>et al</w:t>
            </w:r>
            <w:r w:rsidRPr="005F3FC0">
              <w:rPr>
                <w:rFonts w:eastAsia="Segoe UI" w:cs="Segoe UI"/>
                <w:b/>
                <w:bCs/>
                <w:noProof/>
                <w:sz w:val="18"/>
                <w:szCs w:val="18"/>
              </w:rPr>
              <w:t>. (2020)</w:t>
            </w:r>
            <w:r w:rsidRPr="005F3FC0">
              <w:rPr>
                <w:rFonts w:eastAsia="Segoe UI" w:cs="Segoe UI"/>
                <w:b/>
                <w:bCs/>
                <w:sz w:val="18"/>
                <w:szCs w:val="18"/>
              </w:rPr>
              <w:fldChar w:fldCharType="end"/>
            </w:r>
          </w:p>
        </w:tc>
        <w:tc>
          <w:tcPr>
            <w:tcW w:w="2900" w:type="dxa"/>
            <w:tcBorders>
              <w:top w:val="single" w:sz="4" w:space="0" w:color="000000"/>
              <w:left w:val="nil"/>
              <w:bottom w:val="nil"/>
              <w:right w:val="nil"/>
            </w:tcBorders>
          </w:tcPr>
          <w:p w14:paraId="7D2D3B73" w14:textId="77777777" w:rsidR="00660472" w:rsidRPr="00423848" w:rsidRDefault="00660472" w:rsidP="002F2804">
            <w:pPr>
              <w:spacing w:after="20" w:line="240" w:lineRule="auto"/>
              <w:ind w:left="295" w:right="78"/>
              <w:rPr>
                <w:lang w:val="sv-SE"/>
              </w:rPr>
            </w:pPr>
            <w:r w:rsidRPr="00423848">
              <w:rPr>
                <w:rFonts w:eastAsia="Segoe UI" w:cs="Segoe UI"/>
                <w:sz w:val="18"/>
                <w:szCs w:val="18"/>
                <w:lang w:val="sv-SE"/>
              </w:rPr>
              <w:t>315 observasi tahun-perusahaan perbankan selama 13 tahun; indeks mutu pengungkapan 11 butir</w:t>
            </w:r>
          </w:p>
        </w:tc>
        <w:tc>
          <w:tcPr>
            <w:tcW w:w="4779" w:type="dxa"/>
            <w:tcBorders>
              <w:top w:val="single" w:sz="4" w:space="0" w:color="000000"/>
              <w:left w:val="nil"/>
              <w:bottom w:val="nil"/>
              <w:right w:val="nil"/>
            </w:tcBorders>
          </w:tcPr>
          <w:p w14:paraId="4B4EB35F" w14:textId="77777777" w:rsidR="00660472" w:rsidRPr="00423848" w:rsidRDefault="00660472" w:rsidP="002F2804">
            <w:pPr>
              <w:spacing w:after="20" w:line="240" w:lineRule="auto"/>
              <w:ind w:left="372" w:right="78"/>
              <w:rPr>
                <w:lang w:val="sv-SE"/>
              </w:rPr>
            </w:pPr>
            <w:r w:rsidRPr="00423848">
              <w:rPr>
                <w:rFonts w:eastAsia="Segoe UI" w:cs="Segoe UI"/>
                <w:sz w:val="18"/>
                <w:szCs w:val="18"/>
                <w:lang w:val="sv-SE"/>
              </w:rPr>
              <w:t>Mutu pengungkapan pada awalnya berkembang secara simbolik sebelum menjadi substantif; tanpa verifikasi eksternal, mutu belum dapat disebut substantif sepenuhnya</w:t>
            </w:r>
          </w:p>
        </w:tc>
      </w:tr>
      <w:tr w:rsidR="00660472" w:rsidRPr="00423848" w14:paraId="7FB8B043" w14:textId="77777777" w:rsidTr="006C6999">
        <w:tblPrEx>
          <w:tblCellMar>
            <w:top w:w="0" w:type="dxa"/>
            <w:bottom w:w="0" w:type="dxa"/>
          </w:tblCellMar>
        </w:tblPrEx>
        <w:tc>
          <w:tcPr>
            <w:tcW w:w="1900" w:type="dxa"/>
            <w:tcBorders>
              <w:top w:val="nil"/>
              <w:left w:val="nil"/>
              <w:bottom w:val="nil"/>
              <w:right w:val="nil"/>
            </w:tcBorders>
          </w:tcPr>
          <w:p w14:paraId="41EA4E93" w14:textId="3F8E6759" w:rsidR="00660472" w:rsidRPr="005F3FC0" w:rsidRDefault="005F3FC0" w:rsidP="002F2804">
            <w:pPr>
              <w:spacing w:after="20" w:line="240" w:lineRule="auto"/>
              <w:ind w:left="69" w:right="78"/>
              <w:rPr>
                <w:b/>
                <w:bCs/>
              </w:rPr>
            </w:pPr>
            <w:r w:rsidRPr="005F3FC0">
              <w:rPr>
                <w:rFonts w:eastAsia="Segoe UI" w:cs="Segoe UI"/>
                <w:b/>
                <w:bCs/>
                <w:sz w:val="18"/>
                <w:szCs w:val="18"/>
              </w:rPr>
              <w:fldChar w:fldCharType="begin" w:fldLock="1"/>
            </w:r>
            <w:r w:rsidR="00312F44">
              <w:rPr>
                <w:rFonts w:eastAsia="Segoe UI" w:cs="Segoe UI"/>
                <w:b/>
                <w:bCs/>
                <w:sz w:val="18"/>
                <w:szCs w:val="18"/>
              </w:rPr>
              <w:instrText>ADDIN CSL_CITATION {"citationItems":[{"id":"ITEM-1","itemData":{"DOI":"10.1108/ARA-04-2022-0078","ISSN":"1321-7348","abstract":"The purpose of this research is to investigate the use of visuals in communicating symbolic sustainability information by the New Zealand Stock Exchange (NZX) listed companies through their standalone sustainability reports.Using the impression management theoretical framework and Barthes' conceptions of denotation and connotation, the study seeks to examine the way visuals, such as photos, tables and figures, are used to convey symbolic sustainability messages and information. The content analysis method was used to analyse 1,064 visuals from 20 New Zealand Stock Exchange listed companies' standalone sustainability reports for 2017.The authors observe variations in the use of visuals to convey messages about sustainability and the appeal of these visuals to readers in the process of creating a symbolic sustainability message. While photos focus on emotions as their main method of impression management, tables and figures focus on the logical link between readers and a positive sustainability message.The study adds to the impression management theory work that companies use a combination of photos, tables and figures in communicating symbolic positive sustainability messages. The insights inform the corporate culture of the use of visuals and the effect of future reporting practices regarding sustainability information in New Zealand and globally.Unlike other studies on sustainability reporting, we contend that a company uses a combination of visuals to create impressions that include not only positive but also negative and neutral sustainability messages.","author":[{"dropping-particle":"","family":"Momin","given":"Mahmood Ahmed","non-dropping-particle":"","parse-names":false,"suffix":""},{"dropping-particle":"","family":"Ahmed","given":"Zahir Uddin","non-dropping-particle":"","parse-names":false,"suffix":""},{"dropping-particle":"","family":"Liu","given":"Renhe","non-dropping-particle":"","parse-names":false,"suffix":""}],"container-title":"Asian Review of Accounting","id":"ITEM-1","issue":"2","issued":{"date-parts":[["2022","12","9"]]},"page":"181-202","title":"Use of visuals in sustainability reporting by New Zealand Stock Exchange (NZX) listed companies: an impression management perspective","type":"article-journal","volume":"31"},"uris":["http://www.mendeley.com/documents/?uuid=12218b4b-54c5-492f-a30d-32d5feb57ed0"]}],"mendeley":{"formattedCitation":"(Momin et al., 2022)","manualFormatting":"Momin et al. (2022)","plainTextFormattedCitation":"(Momin et al., 2022)","previouslyFormattedCitation":"(Momin et al., 2022)"},"properties":{"noteIndex":0},"schema":"https://github.com/citation-style-language/schema/raw/master/csl-citation.json"}</w:instrText>
            </w:r>
            <w:r w:rsidRPr="005F3FC0">
              <w:rPr>
                <w:rFonts w:eastAsia="Segoe UI" w:cs="Segoe UI"/>
                <w:b/>
                <w:bCs/>
                <w:sz w:val="18"/>
                <w:szCs w:val="18"/>
              </w:rPr>
              <w:fldChar w:fldCharType="separate"/>
            </w:r>
            <w:r w:rsidRPr="005F3FC0">
              <w:rPr>
                <w:rFonts w:eastAsia="Segoe UI" w:cs="Segoe UI"/>
                <w:b/>
                <w:bCs/>
                <w:noProof/>
                <w:sz w:val="18"/>
                <w:szCs w:val="18"/>
              </w:rPr>
              <w:t xml:space="preserve">Momin </w:t>
            </w:r>
            <w:r w:rsidRPr="00312F44">
              <w:rPr>
                <w:rFonts w:eastAsia="Segoe UI" w:cs="Segoe UI"/>
                <w:b/>
                <w:bCs/>
                <w:i/>
                <w:iCs/>
                <w:noProof/>
                <w:sz w:val="18"/>
                <w:szCs w:val="18"/>
              </w:rPr>
              <w:t>et al</w:t>
            </w:r>
            <w:r w:rsidRPr="005F3FC0">
              <w:rPr>
                <w:rFonts w:eastAsia="Segoe UI" w:cs="Segoe UI"/>
                <w:b/>
                <w:bCs/>
                <w:noProof/>
                <w:sz w:val="18"/>
                <w:szCs w:val="18"/>
              </w:rPr>
              <w:t>. (2022)</w:t>
            </w:r>
            <w:r w:rsidRPr="005F3FC0">
              <w:rPr>
                <w:rFonts w:eastAsia="Segoe UI" w:cs="Segoe UI"/>
                <w:b/>
                <w:bCs/>
                <w:sz w:val="18"/>
                <w:szCs w:val="18"/>
              </w:rPr>
              <w:fldChar w:fldCharType="end"/>
            </w:r>
          </w:p>
        </w:tc>
        <w:tc>
          <w:tcPr>
            <w:tcW w:w="2900" w:type="dxa"/>
            <w:tcBorders>
              <w:top w:val="nil"/>
              <w:left w:val="nil"/>
              <w:bottom w:val="nil"/>
              <w:right w:val="nil"/>
            </w:tcBorders>
          </w:tcPr>
          <w:p w14:paraId="54D52B1A" w14:textId="77777777" w:rsidR="00660472" w:rsidRPr="00423848" w:rsidRDefault="00660472" w:rsidP="002F2804">
            <w:pPr>
              <w:spacing w:after="20" w:line="240" w:lineRule="auto"/>
              <w:ind w:left="295" w:right="78"/>
              <w:rPr>
                <w:lang w:val="sv-SE"/>
              </w:rPr>
            </w:pPr>
            <w:r w:rsidRPr="00423848">
              <w:rPr>
                <w:rFonts w:eastAsia="Segoe UI" w:cs="Segoe UI"/>
                <w:sz w:val="18"/>
                <w:szCs w:val="18"/>
                <w:lang w:val="sv-SE"/>
              </w:rPr>
              <w:t>1.064 elemen visual dari laporan keberlanjutan 20 perusahaan tercatat</w:t>
            </w:r>
          </w:p>
        </w:tc>
        <w:tc>
          <w:tcPr>
            <w:tcW w:w="4779" w:type="dxa"/>
            <w:tcBorders>
              <w:top w:val="nil"/>
              <w:left w:val="nil"/>
              <w:bottom w:val="nil"/>
              <w:right w:val="nil"/>
            </w:tcBorders>
          </w:tcPr>
          <w:p w14:paraId="10E36C26" w14:textId="77777777" w:rsidR="00660472" w:rsidRPr="00423848" w:rsidRDefault="00660472" w:rsidP="002F2804">
            <w:pPr>
              <w:spacing w:after="20" w:line="240" w:lineRule="auto"/>
              <w:ind w:left="372" w:right="78"/>
              <w:rPr>
                <w:lang w:val="sv-SE"/>
              </w:rPr>
            </w:pPr>
            <w:r w:rsidRPr="00423848">
              <w:rPr>
                <w:rFonts w:eastAsia="Segoe UI" w:cs="Segoe UI"/>
                <w:sz w:val="18"/>
                <w:szCs w:val="18"/>
                <w:lang w:val="sv-SE"/>
              </w:rPr>
              <w:t>Visual digunakan untuk mengomunikasikan pesan keberlanjutan yang bersifat simbolik melalui makna denotatif dan konotatif</w:t>
            </w:r>
          </w:p>
        </w:tc>
      </w:tr>
      <w:tr w:rsidR="00660472" w:rsidRPr="00423848" w14:paraId="462BE7EE" w14:textId="77777777" w:rsidTr="006C6999">
        <w:tblPrEx>
          <w:tblCellMar>
            <w:top w:w="0" w:type="dxa"/>
            <w:bottom w:w="0" w:type="dxa"/>
          </w:tblCellMar>
        </w:tblPrEx>
        <w:tc>
          <w:tcPr>
            <w:tcW w:w="1900" w:type="dxa"/>
            <w:tcBorders>
              <w:top w:val="nil"/>
              <w:left w:val="nil"/>
              <w:bottom w:val="nil"/>
              <w:right w:val="nil"/>
            </w:tcBorders>
          </w:tcPr>
          <w:p w14:paraId="6B4EFEF6" w14:textId="6B1A9AC2" w:rsidR="00660472" w:rsidRPr="00312F44" w:rsidRDefault="00312F44" w:rsidP="002F2804">
            <w:pPr>
              <w:spacing w:after="20" w:line="240" w:lineRule="auto"/>
              <w:ind w:left="69" w:right="78"/>
              <w:rPr>
                <w:b/>
                <w:bCs/>
              </w:rPr>
            </w:pPr>
            <w:r w:rsidRPr="00312F44">
              <w:rPr>
                <w:rFonts w:eastAsia="Segoe UI" w:cs="Segoe UI"/>
                <w:b/>
                <w:bCs/>
                <w:sz w:val="18"/>
                <w:szCs w:val="18"/>
              </w:rPr>
              <w:fldChar w:fldCharType="begin" w:fldLock="1"/>
            </w:r>
            <w:r>
              <w:rPr>
                <w:rFonts w:eastAsia="Segoe UI" w:cs="Segoe UI"/>
                <w:b/>
                <w:bCs/>
                <w:sz w:val="18"/>
                <w:szCs w:val="18"/>
              </w:rPr>
              <w:instrText>ADDIN CSL_CITATION {"citationItems":[{"id":"ITEM-1","itemData":{"DOI":"10.1371/journal.pone.0279904","author":[{"dropping-particle":"","family":"Xu","given":"Wei","non-dropping-particle":"","parse-names":false,"suffix":""},{"dropping-particle":"","family":"Li","given":"Mingzhu","non-dropping-particle":"","parse-names":false,"suffix":""},{"dropping-particle":"","family":"Xu","given":"Sen","non-dropping-particle":"","parse-names":false,"suffix":""}],"container-title":"PLOS ONE","id":"ITEM-1","issue":"1","issued":{"date-parts":[["2023"]]},"page":"e0279904","publisher":"Public Library of Science","title":"Unveiling the ``Veil'' of information disclosure: Sustainability reporting ``greenwashing'' and ``shared value''","type":"article-journal","volume":"18"},"uris":["http://www.mendeley.com/documents/?uuid=9b987cb7-fec1-4621-9e05-85e1b512e350"]}],"mendeley":{"formattedCitation":"(Xu et al., 2023)","manualFormatting":"Xu et al. (2023)","plainTextFormattedCitation":"(Xu et al., 2023)","previouslyFormattedCitation":"(Xu et al., 2023)"},"properties":{"noteIndex":0},"schema":"https://github.com/citation-style-language/schema/raw/master/csl-citation.json"}</w:instrText>
            </w:r>
            <w:r w:rsidRPr="00312F44">
              <w:rPr>
                <w:rFonts w:eastAsia="Segoe UI" w:cs="Segoe UI"/>
                <w:b/>
                <w:bCs/>
                <w:sz w:val="18"/>
                <w:szCs w:val="18"/>
              </w:rPr>
              <w:fldChar w:fldCharType="separate"/>
            </w:r>
            <w:r w:rsidRPr="00312F44">
              <w:rPr>
                <w:rFonts w:eastAsia="Segoe UI" w:cs="Segoe UI"/>
                <w:b/>
                <w:bCs/>
                <w:noProof/>
                <w:sz w:val="18"/>
                <w:szCs w:val="18"/>
              </w:rPr>
              <w:t xml:space="preserve">Xu </w:t>
            </w:r>
            <w:r w:rsidRPr="00312F44">
              <w:rPr>
                <w:rFonts w:eastAsia="Segoe UI" w:cs="Segoe UI"/>
                <w:b/>
                <w:bCs/>
                <w:i/>
                <w:iCs/>
                <w:noProof/>
                <w:sz w:val="18"/>
                <w:szCs w:val="18"/>
              </w:rPr>
              <w:t>et al</w:t>
            </w:r>
            <w:r w:rsidRPr="00312F44">
              <w:rPr>
                <w:rFonts w:eastAsia="Segoe UI" w:cs="Segoe UI"/>
                <w:b/>
                <w:bCs/>
                <w:noProof/>
                <w:sz w:val="18"/>
                <w:szCs w:val="18"/>
              </w:rPr>
              <w:t>. (2023)</w:t>
            </w:r>
            <w:r w:rsidRPr="00312F44">
              <w:rPr>
                <w:rFonts w:eastAsia="Segoe UI" w:cs="Segoe UI"/>
                <w:b/>
                <w:bCs/>
                <w:sz w:val="18"/>
                <w:szCs w:val="18"/>
              </w:rPr>
              <w:fldChar w:fldCharType="end"/>
            </w:r>
          </w:p>
        </w:tc>
        <w:tc>
          <w:tcPr>
            <w:tcW w:w="2900" w:type="dxa"/>
            <w:tcBorders>
              <w:top w:val="nil"/>
              <w:left w:val="nil"/>
              <w:bottom w:val="nil"/>
              <w:right w:val="nil"/>
            </w:tcBorders>
          </w:tcPr>
          <w:p w14:paraId="509810B0" w14:textId="77777777" w:rsidR="00660472" w:rsidRDefault="00660472" w:rsidP="002F2804">
            <w:pPr>
              <w:spacing w:after="20" w:line="240" w:lineRule="auto"/>
              <w:ind w:left="295" w:right="78"/>
            </w:pPr>
            <w:r>
              <w:rPr>
                <w:rFonts w:eastAsia="Segoe UI" w:cs="Segoe UI"/>
                <w:sz w:val="18"/>
                <w:szCs w:val="18"/>
              </w:rPr>
              <w:t>Perusahaan tercatat di Tiongkok</w:t>
            </w:r>
          </w:p>
        </w:tc>
        <w:tc>
          <w:tcPr>
            <w:tcW w:w="4779" w:type="dxa"/>
            <w:tcBorders>
              <w:top w:val="nil"/>
              <w:left w:val="nil"/>
              <w:bottom w:val="nil"/>
              <w:right w:val="nil"/>
            </w:tcBorders>
          </w:tcPr>
          <w:p w14:paraId="74C50A60" w14:textId="77777777" w:rsidR="00660472" w:rsidRPr="00423848" w:rsidRDefault="00660472" w:rsidP="002F2804">
            <w:pPr>
              <w:spacing w:after="20" w:line="240" w:lineRule="auto"/>
              <w:ind w:left="372" w:right="78"/>
              <w:rPr>
                <w:lang w:val="sv-SE"/>
              </w:rPr>
            </w:pPr>
            <w:r w:rsidRPr="00423848">
              <w:rPr>
                <w:rFonts w:eastAsia="Segoe UI" w:cs="Segoe UI"/>
                <w:sz w:val="18"/>
                <w:szCs w:val="18"/>
                <w:lang w:val="sv-SE"/>
              </w:rPr>
              <w:t>Perilaku greenwashing menurunkan penciptaan nilai bersama; asimetri informasi dan mutu pengungkapan berperan sebagai mediasi parsial</w:t>
            </w:r>
          </w:p>
        </w:tc>
      </w:tr>
      <w:tr w:rsidR="00660472" w:rsidRPr="00423848" w14:paraId="2100DDE5" w14:textId="77777777" w:rsidTr="006C6999">
        <w:tblPrEx>
          <w:tblCellMar>
            <w:top w:w="0" w:type="dxa"/>
            <w:bottom w:w="0" w:type="dxa"/>
          </w:tblCellMar>
        </w:tblPrEx>
        <w:tc>
          <w:tcPr>
            <w:tcW w:w="1900" w:type="dxa"/>
            <w:tcBorders>
              <w:top w:val="nil"/>
              <w:left w:val="nil"/>
              <w:bottom w:val="single" w:sz="4" w:space="0" w:color="000000"/>
              <w:right w:val="nil"/>
            </w:tcBorders>
          </w:tcPr>
          <w:p w14:paraId="1D6D7466" w14:textId="4A9B9FBC" w:rsidR="00660472" w:rsidRPr="00312F44" w:rsidRDefault="00312F44" w:rsidP="002F2804">
            <w:pPr>
              <w:spacing w:after="20" w:line="240" w:lineRule="auto"/>
              <w:ind w:left="69" w:right="78"/>
              <w:rPr>
                <w:b/>
                <w:bCs/>
              </w:rPr>
            </w:pPr>
            <w:r w:rsidRPr="00312F44">
              <w:rPr>
                <w:rFonts w:eastAsia="Segoe UI" w:cs="Segoe UI"/>
                <w:b/>
                <w:bCs/>
                <w:sz w:val="18"/>
                <w:szCs w:val="18"/>
              </w:rPr>
              <w:fldChar w:fldCharType="begin" w:fldLock="1"/>
            </w:r>
            <w:r w:rsidR="002F2804">
              <w:rPr>
                <w:rFonts w:eastAsia="Segoe UI" w:cs="Segoe UI"/>
                <w:b/>
                <w:bCs/>
                <w:sz w:val="18"/>
                <w:szCs w:val="18"/>
              </w:rPr>
              <w:instrText>ADDIN CSL_CITATION {"citationItems":[{"id":"ITEM-1","itemData":{"DOI":"10.3390/su17188342","ISBN":"2071-1050","abstract":"The current study examined the impression management gap between sustainability and management reports, which in this study serves as a proxy for greenwashing in sustainability reporting. The study sample comprised 192 reports from 24 companies, covering the period 2020–2023. Impression management gaps were estimated across four dimensions—tone, analytical thinking, authenticity, and clout—using textual analysis with the Linguistic Inquiry Word Count software. Our findings reveal significant impression management gaps for tone, clout, and analytics dimensions throughout the entire research sample, confirming a more pronounced use of impression management techniques in sustainability reporting. Despite increasing regulatory pressure during the study period, the calculated gaps did not show signs of decreasing. The results further indicate a high likelihood of greenwashing in the Services and Manufacturing sectors, and a lower likelihood in the Utilities sector. Such gaps risk misleading stakeholders by shaping perceptions that diverge from a company’s actual sustainability practices. Our findings suggest that greenwashing can be effectively detected through textual analysis of disclosures, particularly when conducting comparative studies between different reports. Building on these results, we argue that targeted reporting standards, advanced assurance methodologies, and clearer boundaries for impression management are essential to curbing greenwashing and strengthening the integrity of sustainability communication.","author":[{"dropping-particle":"","family":"Sneideriene","given":"Agne","non-dropping-particle":"","parse-names":false,"suffix":""},{"dropping-particle":"","family":"Legenzova","given":"Renata","non-dropping-particle":"","parse-names":false,"suffix":""}],"container-title":"Sustainability","id":"ITEM-1","issue":"18","issued":{"date-parts":[["2025"]]},"page":"8342","title":"Uncovering Greenwashing: Investigating Impression Management Gap in Corporate Reporting","type":"article","volume":"17"},"uris":["http://www.mendeley.com/documents/?uuid=ae0cda7e-8795-4783-a93d-a477d047e94d"]}],"mendeley":{"formattedCitation":"(Sneideriene &amp; Legenzova, 2025)","manualFormatting":"Sneideriene &amp; Legenzova (2025)","plainTextFormattedCitation":"(Sneideriene &amp; Legenzova, 2025)","previouslyFormattedCitation":"(Sneideriene &amp; Legenzova, 2025)"},"properties":{"noteIndex":0},"schema":"https://github.com/citation-style-language/schema/raw/master/csl-citation.json"}</w:instrText>
            </w:r>
            <w:r w:rsidRPr="00312F44">
              <w:rPr>
                <w:rFonts w:eastAsia="Segoe UI" w:cs="Segoe UI"/>
                <w:b/>
                <w:bCs/>
                <w:sz w:val="18"/>
                <w:szCs w:val="18"/>
              </w:rPr>
              <w:fldChar w:fldCharType="separate"/>
            </w:r>
            <w:r w:rsidRPr="00312F44">
              <w:rPr>
                <w:rFonts w:eastAsia="Segoe UI" w:cs="Segoe UI"/>
                <w:b/>
                <w:bCs/>
                <w:noProof/>
                <w:sz w:val="18"/>
                <w:szCs w:val="18"/>
              </w:rPr>
              <w:t>Sneideriene &amp; Legenzova (2025)</w:t>
            </w:r>
            <w:r w:rsidRPr="00312F44">
              <w:rPr>
                <w:rFonts w:eastAsia="Segoe UI" w:cs="Segoe UI"/>
                <w:b/>
                <w:bCs/>
                <w:sz w:val="18"/>
                <w:szCs w:val="18"/>
              </w:rPr>
              <w:fldChar w:fldCharType="end"/>
            </w:r>
          </w:p>
        </w:tc>
        <w:tc>
          <w:tcPr>
            <w:tcW w:w="2900" w:type="dxa"/>
            <w:tcBorders>
              <w:top w:val="nil"/>
              <w:left w:val="nil"/>
              <w:bottom w:val="single" w:sz="4" w:space="0" w:color="000000"/>
              <w:right w:val="nil"/>
            </w:tcBorders>
          </w:tcPr>
          <w:p w14:paraId="0B1725DB" w14:textId="77777777" w:rsidR="00660472" w:rsidRPr="00423848" w:rsidRDefault="00660472" w:rsidP="002F2804">
            <w:pPr>
              <w:spacing w:after="20" w:line="240" w:lineRule="auto"/>
              <w:ind w:left="295" w:right="78"/>
              <w:rPr>
                <w:lang w:val="sv-SE"/>
              </w:rPr>
            </w:pPr>
            <w:r w:rsidRPr="00423848">
              <w:rPr>
                <w:rFonts w:eastAsia="Segoe UI" w:cs="Segoe UI"/>
                <w:sz w:val="18"/>
                <w:szCs w:val="18"/>
                <w:lang w:val="sv-SE"/>
              </w:rPr>
              <w:t>192 laporan dari 24 perusahaan, periode 2020–2023; analisis tekstual</w:t>
            </w:r>
          </w:p>
        </w:tc>
        <w:tc>
          <w:tcPr>
            <w:tcW w:w="4779" w:type="dxa"/>
            <w:tcBorders>
              <w:top w:val="nil"/>
              <w:left w:val="nil"/>
              <w:bottom w:val="single" w:sz="4" w:space="0" w:color="000000"/>
              <w:right w:val="nil"/>
            </w:tcBorders>
          </w:tcPr>
          <w:p w14:paraId="1213E9E6" w14:textId="77777777" w:rsidR="00660472" w:rsidRPr="00423848" w:rsidRDefault="00660472" w:rsidP="002F2804">
            <w:pPr>
              <w:spacing w:after="20" w:line="240" w:lineRule="auto"/>
              <w:ind w:left="372" w:right="78"/>
              <w:rPr>
                <w:lang w:val="sv-SE"/>
              </w:rPr>
            </w:pPr>
            <w:r w:rsidRPr="00423848">
              <w:rPr>
                <w:rFonts w:eastAsia="Segoe UI" w:cs="Segoe UI"/>
                <w:sz w:val="18"/>
                <w:szCs w:val="18"/>
                <w:lang w:val="sv-SE"/>
              </w:rPr>
              <w:t>Jurang manajemen kesan signifikan pada dimensi nada, pengaruh, dan analitis; jurang tidak menyempit meskipun tekanan regulasi meningkat</w:t>
            </w:r>
          </w:p>
        </w:tc>
      </w:tr>
    </w:tbl>
    <w:p w14:paraId="6E072ACF" w14:textId="779E7245" w:rsidR="006F0069" w:rsidRDefault="00660472" w:rsidP="002F2804">
      <w:pPr>
        <w:spacing w:before="40" w:after="140" w:line="240" w:lineRule="auto"/>
        <w:ind w:left="567" w:right="78"/>
        <w:rPr>
          <w:rFonts w:eastAsia="Segoe UI" w:cs="Segoe UI"/>
          <w:i/>
          <w:iCs/>
          <w:sz w:val="18"/>
          <w:szCs w:val="18"/>
        </w:rPr>
      </w:pPr>
      <w:r>
        <w:rPr>
          <w:rFonts w:eastAsia="Segoe UI" w:cs="Segoe UI"/>
          <w:i/>
          <w:iCs/>
          <w:sz w:val="18"/>
          <w:szCs w:val="18"/>
        </w:rPr>
        <w:t>Sumber: Diolah penulis dari sumber-sumber yang tercantum (2026)</w:t>
      </w:r>
    </w:p>
    <w:p w14:paraId="5D6C2178" w14:textId="62BE5968" w:rsidR="005F3FC0" w:rsidRDefault="005F3FC0" w:rsidP="002F2804">
      <w:pPr>
        <w:spacing w:after="0" w:line="240" w:lineRule="auto"/>
        <w:ind w:left="567" w:right="78" w:firstLine="567"/>
        <w:rPr>
          <w:lang w:val="sv-SE"/>
        </w:rPr>
      </w:pPr>
      <w:r w:rsidRPr="00423848">
        <w:rPr>
          <w:rFonts w:eastAsia="Segoe UI" w:cs="Segoe UI"/>
          <w:lang w:val="sv-SE"/>
        </w:rPr>
        <w:t>Tabel 1 memperlihatkan pola yang konsisten lintas konteks, periode, dan metode. Jurang antara citra dan kenyataan bukan penyimpangan sesekali, melainkan gejala yang berulang. Yang paling menantang adalah temuan bahwa jurang tersebut tidak menyempit meskipun tekanan regulasi menguat, dan pola ini sulit dijelaskan oleh kerangka kepatuhan. Pertanyaan yang tersisa adalah apa yang membuatnya bertahan, dan di titik inilah akuntansi keperilakuan menawarkan penjelasan.</w:t>
      </w:r>
    </w:p>
    <w:p w14:paraId="3DEDD1FF" w14:textId="77777777" w:rsidR="002F2804" w:rsidRDefault="002F2804" w:rsidP="002F2804">
      <w:pPr>
        <w:pStyle w:val="Heading2"/>
        <w:spacing w:before="0" w:line="240" w:lineRule="auto"/>
        <w:ind w:left="0"/>
        <w:rPr>
          <w:lang w:val="sv-SE"/>
        </w:rPr>
      </w:pPr>
    </w:p>
    <w:p w14:paraId="08B939C7" w14:textId="24FDF6B2" w:rsidR="00985560" w:rsidRDefault="00985560" w:rsidP="002F2804">
      <w:pPr>
        <w:pStyle w:val="Heading2"/>
        <w:spacing w:before="0" w:line="240" w:lineRule="auto"/>
        <w:rPr>
          <w:lang w:val="sv-SE"/>
        </w:rPr>
      </w:pPr>
      <w:r>
        <w:rPr>
          <w:lang w:val="sv-SE"/>
        </w:rPr>
        <w:t xml:space="preserve">3.2 </w:t>
      </w:r>
      <w:r w:rsidR="005F3FC0" w:rsidRPr="00423848">
        <w:rPr>
          <w:rFonts w:eastAsia="Segoe UI" w:cs="Segoe UI"/>
          <w:bCs/>
          <w:color w:val="000000"/>
          <w:sz w:val="22"/>
          <w:szCs w:val="22"/>
          <w:lang w:val="sv-SE"/>
        </w:rPr>
        <w:t>S</w:t>
      </w:r>
      <w:r w:rsidR="005F3FC0" w:rsidRPr="005F3FC0">
        <w:rPr>
          <w:rFonts w:eastAsia="Segoe UI" w:cs="Segoe UI"/>
          <w:bCs/>
          <w:color w:val="000000"/>
          <w:szCs w:val="24"/>
          <w:lang w:val="sv-SE"/>
        </w:rPr>
        <w:t>egitiga Greenwashing: Tekanan, Peluang, dan Rasionalisasi</w:t>
      </w:r>
    </w:p>
    <w:p w14:paraId="545765C2" w14:textId="74986373" w:rsidR="002F2804" w:rsidRPr="00423848" w:rsidRDefault="002F2804" w:rsidP="002F2804">
      <w:pPr>
        <w:spacing w:after="120" w:line="240" w:lineRule="auto"/>
        <w:ind w:left="567" w:right="78" w:firstLine="567"/>
        <w:rPr>
          <w:lang w:val="sv-SE"/>
        </w:rPr>
      </w:pPr>
      <w:r>
        <w:rPr>
          <w:rFonts w:eastAsia="Segoe UI" w:cs="Segoe UI"/>
          <w:lang w:val="sv-SE"/>
        </w:rPr>
        <w:fldChar w:fldCharType="begin" w:fldLock="1"/>
      </w:r>
      <w:r w:rsidR="006562C8">
        <w:rPr>
          <w:rFonts w:eastAsia="Segoe UI" w:cs="Segoe UI"/>
          <w:lang w:val="sv-SE"/>
        </w:rPr>
        <w:instrText>ADDIN CSL_CITATION {"citationItems":[{"id":"ITEM-1","itemData":{"DOI":"10.1108/SAMPJ-10-2018-0272","ISSN":"2040-8021","abstract":"The purpose of this paper is to show a significant overlap in the models accounting research uses for fraud and the models other research disciplines use for greenwashing, and show how researchers and policymakers interested in the application of effective sustainability policy can draw from fraud accounting literature to better understand, and therefore, combat greenwashing. This is illustrated by showing multi-actor information-asymmetry models from other branches of accounting literature and synthesizing them with the fraud triangle model to suggest new avenues for reducing greenwashing and strengthening corporate social responsibility (CSR).This paper reviews the current literature surrounding the greenwashing aspect of corporate camouflage compares the legal and technical definitions of fraud and synthesizes a new variant fraud triangle that more usefully describes greenwashing.This paper is able to show that other areas of accounting research in North America have already tackled similar systems of multiple actors in an information-asymmetric environment and that a recurring trait is the emergence of a more robust reporting system. CSR reporting is currently in the process of emerging and could develop more swiftly by copying extant fraud-fighting tools. This is particularly salient given the increasing amount of liability legal regimes are giving to both sustainability activities and sustainability reporting from firms, as evidenced in both guidelines and scandals over the past decade.Sustainability reporting is not unique in comprising a large number of interrelated entities with non-financial information asymmetry between actors. Previous researchers have encountered similar situations in government accounting and public administration and developed network models to study these relationships as a result. In government accounting, this led to the development both of better diagnostic tools for further research and better models for local governments to use to prevent fraud and malfeasance. This paper suggests that using such research methods in the area of CSR will allow for the development of similarly-useful tools and models.Visualizing greenwashing as a form of fraud allows policymakers to use tools from the fraud-fighting literature to improve CSR reporting and produce a more robust regime in the future. As governments increasingly seek to respond effectively to material misstatements with an intent to deceive in sustainability reports, und…","author":[{"dropping-particle":"","family":"Kurpierz","given":"John Richard","non-dropping-particle":"","parse-names":false,"suffix":""},{"dropping-particle":"","family":"Smith","given":"Ken","non-dropping-particle":"","parse-names":false,"suffix":""}],"container-title":"Sustainability Accounting, Management and Policy Journal","id":"ITEM-1","issue":"6","issued":{"date-parts":[["2020","5","1"]]},"page":"1075-1093","title":"The greenwashing triangle: adapting tools from fraud to improve CSR reporting","type":"article-journal","volume":"11"},"uris":["http://www.mendeley.com/documents/?uuid=4ba08c74-abe6-49a0-933c-07ecdcdfc201"]}],"mendeley":{"formattedCitation":"(Kurpierz &amp; Smith, 2020)","manualFormatting":"Kurpierz &amp; Smith (2020)","plainTextFormattedCitation":"(Kurpierz &amp; Smith, 2020)","previouslyFormattedCitation":"(Kurpierz &amp; Smith, 2020)"},"properties":{"noteIndex":0},"schema":"https://github.com/citation-style-language/schema/raw/master/csl-citation.json"}</w:instrText>
      </w:r>
      <w:r>
        <w:rPr>
          <w:rFonts w:eastAsia="Segoe UI" w:cs="Segoe UI"/>
          <w:lang w:val="sv-SE"/>
        </w:rPr>
        <w:fldChar w:fldCharType="separate"/>
      </w:r>
      <w:r w:rsidRPr="002F2804">
        <w:rPr>
          <w:rFonts w:eastAsia="Segoe UI" w:cs="Segoe UI"/>
          <w:noProof/>
          <w:lang w:val="sv-SE"/>
        </w:rPr>
        <w:t xml:space="preserve">Kurpierz &amp; Smith </w:t>
      </w:r>
      <w:r>
        <w:rPr>
          <w:rFonts w:eastAsia="Segoe UI" w:cs="Segoe UI"/>
          <w:noProof/>
          <w:lang w:val="sv-SE"/>
        </w:rPr>
        <w:t>(</w:t>
      </w:r>
      <w:r w:rsidRPr="002F2804">
        <w:rPr>
          <w:rFonts w:eastAsia="Segoe UI" w:cs="Segoe UI"/>
          <w:noProof/>
          <w:lang w:val="sv-SE"/>
        </w:rPr>
        <w:t>2020)</w:t>
      </w:r>
      <w:r>
        <w:rPr>
          <w:rFonts w:eastAsia="Segoe UI" w:cs="Segoe UI"/>
          <w:lang w:val="sv-SE"/>
        </w:rPr>
        <w:fldChar w:fldCharType="end"/>
      </w:r>
      <w:r w:rsidRPr="00423848">
        <w:rPr>
          <w:rFonts w:eastAsia="Segoe UI" w:cs="Segoe UI"/>
          <w:lang w:val="sv-SE"/>
        </w:rPr>
        <w:t xml:space="preserve"> menawarkan kerangka yang menjembatani literatur </w:t>
      </w:r>
      <w:r>
        <w:rPr>
          <w:rFonts w:eastAsia="Segoe UI" w:cs="Segoe UI"/>
          <w:lang w:val="sv-SE"/>
        </w:rPr>
        <w:t>tentang kecurangan dengan literatur tentang</w:t>
      </w:r>
      <w:r w:rsidRPr="00423848">
        <w:rPr>
          <w:rFonts w:eastAsia="Segoe UI" w:cs="Segoe UI"/>
          <w:lang w:val="sv-SE"/>
        </w:rPr>
        <w:t xml:space="preserve"> keberlanjutan. Inti argumennya adalah bahwa </w:t>
      </w:r>
      <w:r w:rsidRPr="00423848">
        <w:rPr>
          <w:rFonts w:eastAsia="Segoe UI" w:cs="Segoe UI"/>
          <w:i/>
          <w:iCs/>
          <w:lang w:val="sv-SE"/>
        </w:rPr>
        <w:t>greenwashing</w:t>
      </w:r>
      <w:r w:rsidRPr="00423848">
        <w:rPr>
          <w:rFonts w:eastAsia="Segoe UI" w:cs="Segoe UI"/>
          <w:lang w:val="sv-SE"/>
        </w:rPr>
        <w:t xml:space="preserve"> dan kecurangan keuangan memiliki kemiripan struktural, sehingga perangkat analisis kecurangan dapat diadaptasi untuk memahami dan menekan </w:t>
      </w:r>
      <w:r w:rsidRPr="00423848">
        <w:rPr>
          <w:rFonts w:eastAsia="Segoe UI" w:cs="Segoe UI"/>
          <w:i/>
          <w:iCs/>
          <w:lang w:val="sv-SE"/>
        </w:rPr>
        <w:t>greenwashing</w:t>
      </w:r>
      <w:r w:rsidRPr="00423848">
        <w:rPr>
          <w:rFonts w:eastAsia="Segoe UI" w:cs="Segoe UI"/>
          <w:lang w:val="sv-SE"/>
        </w:rPr>
        <w:t>. Ketiga unsur segitiga tersebut dapat dibaca secara keperilakuan sebagaimana diuraikan berikut ini.</w:t>
      </w:r>
    </w:p>
    <w:p w14:paraId="37E7A09D" w14:textId="43DC3517" w:rsidR="002F2804" w:rsidRPr="00423848" w:rsidRDefault="002F2804" w:rsidP="002F2804">
      <w:pPr>
        <w:spacing w:after="120" w:line="240" w:lineRule="auto"/>
        <w:ind w:left="567" w:right="78" w:firstLine="567"/>
        <w:rPr>
          <w:lang w:val="sv-SE"/>
        </w:rPr>
      </w:pPr>
      <w:r w:rsidRPr="00423848">
        <w:rPr>
          <w:rFonts w:eastAsia="Segoe UI" w:cs="Segoe UI"/>
          <w:lang w:val="sv-SE"/>
        </w:rPr>
        <w:t xml:space="preserve">Unsur pertama adalah tekanan. Perusahaan berada di bawah desakan investor, konsumen, dan regulator untuk tampil bertanggung jawab secara lingkungan dan sosial. Tekanan ini bersifat asimetris karena tuntutan untuk terlihat hijau meningkat jauh lebih cepat daripada kemampuan organisasi untuk benar-benar menjadi hijau. Ketika citra dituntut </w:t>
      </w:r>
      <w:r>
        <w:rPr>
          <w:rFonts w:eastAsia="Segoe UI" w:cs="Segoe UI"/>
          <w:lang w:val="sv-SE"/>
        </w:rPr>
        <w:t xml:space="preserve">untuk </w:t>
      </w:r>
      <w:r w:rsidRPr="00423848">
        <w:rPr>
          <w:rFonts w:eastAsia="Segoe UI" w:cs="Segoe UI"/>
          <w:lang w:val="sv-SE"/>
        </w:rPr>
        <w:t>berlari lebih cepat daripada kinerja, jarak di antara keduanya harus diisi oleh sesuatu, dan yang paling murah untuk mengisinya adalah narasi.</w:t>
      </w:r>
    </w:p>
    <w:p w14:paraId="4C097868" w14:textId="772E3E8C" w:rsidR="002F2804" w:rsidRPr="00423848" w:rsidRDefault="002F2804" w:rsidP="002F2804">
      <w:pPr>
        <w:spacing w:after="120" w:line="240" w:lineRule="auto"/>
        <w:ind w:left="567" w:right="78" w:firstLine="567"/>
        <w:rPr>
          <w:lang w:val="sv-SE"/>
        </w:rPr>
      </w:pPr>
      <w:r w:rsidRPr="00423848">
        <w:rPr>
          <w:rFonts w:eastAsia="Segoe UI" w:cs="Segoe UI"/>
          <w:lang w:val="sv-SE"/>
        </w:rPr>
        <w:t>Unsur kedua adalah peluang. Pelaporan keberlanjutan sebagian besar masih bersifat sukarela, memiliki keragaman standar, serta menyediakan keleluasaan besar dalam menentukan batasan, indikator, dan metode pengukuran. Kondisi ini menciptakan ruang kebijakan yang luas dan ruang kebijakan selalu merupakan ruang perilaku. Berbeda dengan laporan keuangan yang angkanya relatif terikat, laporan keberlanjutan memberi penyusunnya kebebasan untuk memilih cerita.</w:t>
      </w:r>
    </w:p>
    <w:p w14:paraId="452E686F" w14:textId="4D0298DC" w:rsidR="002F2804" w:rsidRDefault="002F2804" w:rsidP="002F2804">
      <w:pPr>
        <w:spacing w:after="0" w:line="240" w:lineRule="auto"/>
        <w:ind w:left="567" w:right="78" w:firstLine="567"/>
        <w:rPr>
          <w:rFonts w:eastAsia="Segoe UI" w:cs="Segoe UI"/>
          <w:lang w:val="sv-SE"/>
        </w:rPr>
      </w:pPr>
      <w:r w:rsidRPr="00423848">
        <w:rPr>
          <w:rFonts w:eastAsia="Segoe UI" w:cs="Segoe UI"/>
          <w:lang w:val="sv-SE"/>
        </w:rPr>
        <w:t>Unsur ketiga adalah rasionalisasi, yang justru paling jarang dibahas</w:t>
      </w:r>
      <w:r>
        <w:rPr>
          <w:rFonts w:eastAsia="Segoe UI" w:cs="Segoe UI"/>
          <w:lang w:val="sv-SE"/>
        </w:rPr>
        <w:t>,</w:t>
      </w:r>
      <w:r w:rsidRPr="00423848">
        <w:rPr>
          <w:rFonts w:eastAsia="Segoe UI" w:cs="Segoe UI"/>
          <w:lang w:val="sv-SE"/>
        </w:rPr>
        <w:t xml:space="preserve"> </w:t>
      </w:r>
      <w:r>
        <w:rPr>
          <w:rFonts w:eastAsia="Segoe UI" w:cs="Segoe UI"/>
          <w:lang w:val="sv-SE"/>
        </w:rPr>
        <w:t>tetapi</w:t>
      </w:r>
      <w:r w:rsidRPr="00423848">
        <w:rPr>
          <w:rFonts w:eastAsia="Segoe UI" w:cs="Segoe UI"/>
          <w:lang w:val="sv-SE"/>
        </w:rPr>
        <w:t xml:space="preserve"> paling menentukan. Penyusun laporan umumnya tidak </w:t>
      </w:r>
      <w:r>
        <w:rPr>
          <w:rFonts w:eastAsia="Segoe UI" w:cs="Segoe UI"/>
          <w:lang w:val="sv-SE"/>
        </w:rPr>
        <w:t>merasa</w:t>
      </w:r>
      <w:r w:rsidRPr="00423848">
        <w:rPr>
          <w:rFonts w:eastAsia="Segoe UI" w:cs="Segoe UI"/>
          <w:lang w:val="sv-SE"/>
        </w:rPr>
        <w:t xml:space="preserve"> sedang menipu. Mereka merasa sedang mengomunikasikan aspirasi, menjaga reputasi, atau melindungi kepentingan perusahaan. Pembenaran inilah yang membuat praktik tersebut dapat berlangsung berulang tanpa menimbulkan rasa bersalah dan</w:t>
      </w:r>
      <w:r>
        <w:rPr>
          <w:rFonts w:eastAsia="Segoe UI" w:cs="Segoe UI"/>
          <w:lang w:val="sv-SE"/>
        </w:rPr>
        <w:t>, karena itu,</w:t>
      </w:r>
      <w:r w:rsidRPr="00423848">
        <w:rPr>
          <w:rFonts w:eastAsia="Segoe UI" w:cs="Segoe UI"/>
          <w:lang w:val="sv-SE"/>
        </w:rPr>
        <w:t xml:space="preserve"> tidak dapat dijangkau oleh sanksi teknis semata.</w:t>
      </w:r>
    </w:p>
    <w:p w14:paraId="5F26FB7B" w14:textId="77777777" w:rsidR="002F2804" w:rsidRPr="002F2804" w:rsidRDefault="002F2804" w:rsidP="00FE3BFB">
      <w:pPr>
        <w:spacing w:after="0" w:line="264" w:lineRule="auto"/>
        <w:ind w:left="567" w:right="78" w:firstLine="567"/>
        <w:rPr>
          <w:rFonts w:eastAsia="Segoe UI" w:cs="Segoe UI"/>
          <w:lang w:val="sv-SE"/>
        </w:rPr>
      </w:pPr>
    </w:p>
    <w:p w14:paraId="448F2FD5" w14:textId="5F468998" w:rsidR="002F2804" w:rsidRDefault="002F2804" w:rsidP="006562C8">
      <w:pPr>
        <w:pStyle w:val="Heading2"/>
        <w:spacing w:before="0" w:line="240" w:lineRule="auto"/>
        <w:rPr>
          <w:rStyle w:val="longtext"/>
          <w:rFonts w:cs="Segoe UI"/>
          <w:szCs w:val="24"/>
          <w:lang w:val="sv-SE"/>
        </w:rPr>
      </w:pPr>
      <w:r w:rsidRPr="002F2804">
        <w:rPr>
          <w:rStyle w:val="longtext"/>
          <w:rFonts w:cs="Segoe UI"/>
          <w:szCs w:val="24"/>
          <w:lang w:val="sv-SE"/>
        </w:rPr>
        <w:t xml:space="preserve">3.3 </w:t>
      </w:r>
      <w:r w:rsidRPr="00423848">
        <w:rPr>
          <w:rFonts w:eastAsia="Segoe UI" w:cs="Segoe UI"/>
          <w:bCs/>
          <w:color w:val="000000"/>
          <w:sz w:val="22"/>
          <w:szCs w:val="22"/>
          <w:lang w:val="sv-SE"/>
        </w:rPr>
        <w:t>Taktik Manajemen Kesan dalam Laporan Keberlanjutan</w:t>
      </w:r>
    </w:p>
    <w:p w14:paraId="68A4190B" w14:textId="0A66042A" w:rsidR="006562C8" w:rsidRPr="00423848" w:rsidRDefault="006562C8" w:rsidP="006562C8">
      <w:pPr>
        <w:spacing w:after="120" w:line="240" w:lineRule="auto"/>
        <w:ind w:left="567" w:right="40" w:firstLine="567"/>
        <w:rPr>
          <w:lang w:val="sv-SE"/>
        </w:rPr>
      </w:pPr>
      <w:r w:rsidRPr="00423848">
        <w:rPr>
          <w:rFonts w:eastAsia="Segoe UI" w:cs="Segoe UI"/>
          <w:lang w:val="sv-SE"/>
        </w:rPr>
        <w:t xml:space="preserve">Apabila segitiga menjelaskan mengapa </w:t>
      </w:r>
      <w:r w:rsidRPr="00423848">
        <w:rPr>
          <w:rFonts w:eastAsia="Segoe UI" w:cs="Segoe UI"/>
          <w:i/>
          <w:iCs/>
          <w:lang w:val="sv-SE"/>
        </w:rPr>
        <w:t>greenwashing</w:t>
      </w:r>
      <w:r w:rsidRPr="00423848">
        <w:rPr>
          <w:rFonts w:eastAsia="Segoe UI" w:cs="Segoe UI"/>
          <w:lang w:val="sv-SE"/>
        </w:rPr>
        <w:t xml:space="preserve"> terjadi, manajemen kesan menjelaskan bagaimana </w:t>
      </w:r>
      <w:r>
        <w:rPr>
          <w:rFonts w:eastAsia="Segoe UI" w:cs="Segoe UI"/>
          <w:lang w:val="sv-SE"/>
        </w:rPr>
        <w:t>hal itu</w:t>
      </w:r>
      <w:r w:rsidRPr="00423848">
        <w:rPr>
          <w:rFonts w:eastAsia="Segoe UI" w:cs="Segoe UI"/>
          <w:lang w:val="sv-SE"/>
        </w:rPr>
        <w:t xml:space="preserve"> </w:t>
      </w:r>
      <w:r>
        <w:rPr>
          <w:rFonts w:eastAsia="Segoe UI" w:cs="Segoe UI"/>
          <w:lang w:val="sv-SE"/>
        </w:rPr>
        <w:t>dilakukan</w:t>
      </w:r>
      <w:r w:rsidRPr="00423848">
        <w:rPr>
          <w:rFonts w:eastAsia="Segoe UI" w:cs="Segoe UI"/>
          <w:lang w:val="sv-SE"/>
        </w:rPr>
        <w:t>. Taktik yang digunakan bekerja secara halus dan justru karena itu efektif. Bentuk paling mendasar adalah pengungkapan selektif, yaitu menahan informasi yang tidak menguntungkan sembari menonjolkan capaian yang menguntungkan. Kajian atas mutu pengungkapan perbankan memperlihatkan bahwa pengungkapan pada mulanya berkembang secara simbolik</w:t>
      </w:r>
      <w:r>
        <w:rPr>
          <w:rFonts w:eastAsia="Segoe UI" w:cs="Segoe UI"/>
          <w:lang w:val="sv-SE"/>
        </w:rPr>
        <w:t xml:space="preserve"> dan tanpa verifikasi eksternal,</w:t>
      </w:r>
      <w:r w:rsidRPr="00423848">
        <w:rPr>
          <w:rFonts w:eastAsia="Segoe UI" w:cs="Segoe UI"/>
          <w:lang w:val="sv-SE"/>
        </w:rPr>
        <w:t xml:space="preserve"> mutu tersebut belum dapat disebut substantif </w:t>
      </w:r>
      <w:r>
        <w:rPr>
          <w:rFonts w:eastAsia="Segoe UI" w:cs="Segoe UI"/>
          <w:lang w:val="sv-SE"/>
        </w:rPr>
        <w:fldChar w:fldCharType="begin" w:fldLock="1"/>
      </w:r>
      <w:r>
        <w:rPr>
          <w:rFonts w:eastAsia="Segoe UI" w:cs="Segoe UI"/>
          <w:lang w:val="sv-SE"/>
        </w:rPr>
        <w:instrText>ADDIN CSL_CITATION {"citationItems":[{"id":"ITEM-1","itemData":{"DOI":"10.1108/AAAJ-01-2018-3330","ISSN":"1368-0668","abstract":"This study explores the quality of sustainability reporting (QSR) and the impact of regulatory guidelines, social performance and a standardised reporting framework (using the Global Reporting Initiative [GRI] guidelines) on QSR in the context of banks in Bangladesh.Using a sample of 315 banking firm-year observations over 13 years (2002–2014), a content analysis technique is used to develop the 11-item QSR index. Regression analysis is used to test the research hypotheses.Initially, QSR evolved symbolically in Bangladesh's banks but, over our investigation period, with QSR indicators gradually improving, the trends became substantive. The influences on QSR were sustainable banking practice regulatory guidelines, social performance and use of the GRI guidelines. However, until banks improve reporting information, such as external verification and trends over time, QSR cannot be regarded as fully substantive.This study advances QSR research and debate among academic researchers. With regulatory agencies and stakeholders increasingly using sustainability reporting information for decision making, the information's quality is vital.This study is the first on QSR in the banking industry context, with previous research mostly investigating the quantity of sustainability reporting. The current study also synthesises QSR with sustainability regulation and social performance factors which have rarely been used in the sustainability literature. To gain a holistic understanding of QSR, existing QSR measures are advanced by combining external reporting efforts with banks' internalisation initiatives.","author":[{"dropping-particle":"","family":"Khan","given":"Habib Zaman","non-dropping-particle":"","parse-names":false,"suffix":""},{"dropping-particle":"","family":"Bose","given":"Sudipta","non-dropping-particle":"","parse-names":false,"suffix":""},{"dropping-particle":"","family":"Mollik","given":"Abu Taher","non-dropping-particle":"","parse-names":false,"suffix":""},{"dropping-particle":"","family":"Harun","given":"Harun","non-dropping-particle":"","parse-names":false,"suffix":""}],"container-title":"Accounting, Auditing &amp; Accountability Journal","id":"ITEM-1","issue":"2","issued":{"date-parts":[["2020","11","9"]]},"page":"338-369","title":"“Green washing” or “authentic effort”? An empirical investigation of the quality of sustainability reporting by banks","type":"article-journal","volume":"34"},"uris":["http://www.mendeley.com/documents/?uuid=c983a151-cfc7-4109-94e4-fb4345930231"]}],"mendeley":{"formattedCitation":"(Khan et al., 2020)","plainTextFormattedCitation":"(Khan et al., 2020)","previouslyFormattedCitation":"(Khan et al., 2020)"},"properties":{"noteIndex":0},"schema":"https://github.com/citation-style-language/schema/raw/master/csl-citation.json"}</w:instrText>
      </w:r>
      <w:r>
        <w:rPr>
          <w:rFonts w:eastAsia="Segoe UI" w:cs="Segoe UI"/>
          <w:lang w:val="sv-SE"/>
        </w:rPr>
        <w:fldChar w:fldCharType="separate"/>
      </w:r>
      <w:r w:rsidRPr="006562C8">
        <w:rPr>
          <w:rFonts w:eastAsia="Segoe UI" w:cs="Segoe UI"/>
          <w:noProof/>
          <w:lang w:val="sv-SE"/>
        </w:rPr>
        <w:t xml:space="preserve">(Khan </w:t>
      </w:r>
      <w:r w:rsidRPr="006562C8">
        <w:rPr>
          <w:rFonts w:eastAsia="Segoe UI" w:cs="Segoe UI"/>
          <w:i/>
          <w:iCs/>
          <w:noProof/>
          <w:lang w:val="sv-SE"/>
        </w:rPr>
        <w:t>et al</w:t>
      </w:r>
      <w:r w:rsidRPr="006562C8">
        <w:rPr>
          <w:rFonts w:eastAsia="Segoe UI" w:cs="Segoe UI"/>
          <w:noProof/>
          <w:lang w:val="sv-SE"/>
        </w:rPr>
        <w:t>., 2020)</w:t>
      </w:r>
      <w:r>
        <w:rPr>
          <w:rFonts w:eastAsia="Segoe UI" w:cs="Segoe UI"/>
          <w:lang w:val="sv-SE"/>
        </w:rPr>
        <w:fldChar w:fldCharType="end"/>
      </w:r>
      <w:r w:rsidRPr="00423848">
        <w:rPr>
          <w:rFonts w:eastAsia="Segoe UI" w:cs="Segoe UI"/>
          <w:lang w:val="sv-SE"/>
        </w:rPr>
        <w:t>. Laporan bukan cermin, melainkan etalase.</w:t>
      </w:r>
    </w:p>
    <w:p w14:paraId="7A61BA4C" w14:textId="29F2BEE2" w:rsidR="006562C8" w:rsidRPr="00423848" w:rsidRDefault="006562C8" w:rsidP="006562C8">
      <w:pPr>
        <w:spacing w:after="120" w:line="240" w:lineRule="auto"/>
        <w:ind w:left="567" w:right="40" w:firstLine="567"/>
        <w:rPr>
          <w:lang w:val="sv-SE"/>
        </w:rPr>
      </w:pPr>
      <w:r w:rsidRPr="00423848">
        <w:rPr>
          <w:rFonts w:eastAsia="Segoe UI" w:cs="Segoe UI"/>
          <w:lang w:val="sv-SE"/>
        </w:rPr>
        <w:t xml:space="preserve">Bentuk kedua adalah pencitraan visual. </w:t>
      </w:r>
      <w:r>
        <w:rPr>
          <w:rFonts w:eastAsia="Segoe UI" w:cs="Segoe UI"/>
          <w:lang w:val="sv-SE"/>
        </w:rPr>
        <w:fldChar w:fldCharType="begin" w:fldLock="1"/>
      </w:r>
      <w:r>
        <w:rPr>
          <w:rFonts w:eastAsia="Segoe UI" w:cs="Segoe UI"/>
          <w:lang w:val="sv-SE"/>
        </w:rPr>
        <w:instrText>ADDIN CSL_CITATION {"citationItems":[{"id":"ITEM-1","itemData":{"DOI":"10.1108/ARA-04-2022-0078","ISSN":"1321-7348","abstract":"The purpose of this research is to investigate the use of visuals in communicating symbolic sustainability information by the New Zealand Stock Exchange (NZX) listed companies through their standalone sustainability reports.Using the impression management theoretical framework and Barthes' conceptions of denotation and connotation, the study seeks to examine the way visuals, such as photos, tables and figures, are used to convey symbolic sustainability messages and information. The content analysis method was used to analyse 1,064 visuals from 20 New Zealand Stock Exchange listed companies' standalone sustainability reports for 2017.The authors observe variations in the use of visuals to convey messages about sustainability and the appeal of these visuals to readers in the process of creating a symbolic sustainability message. While photos focus on emotions as their main method of impression management, tables and figures focus on the logical link between readers and a positive sustainability message.The study adds to the impression management theory work that companies use a combination of photos, tables and figures in communicating symbolic positive sustainability messages. The insights inform the corporate culture of the use of visuals and the effect of future reporting practices regarding sustainability information in New Zealand and globally.Unlike other studies on sustainability reporting, we contend that a company uses a combination of visuals to create impressions that include not only positive but also negative and neutral sustainability messages.","author":[{"dropping-particle":"","family":"Momin","given":"Mahmood Ahmed","non-dropping-particle":"","parse-names":false,"suffix":""},{"dropping-particle":"","family":"Ahmed","given":"Zahir Uddin","non-dropping-particle":"","parse-names":false,"suffix":""},{"dropping-particle":"","family":"Liu","given":"Renhe","non-dropping-particle":"","parse-names":false,"suffix":""}],"container-title":"Asian Review of Accounting","id":"ITEM-1","issue":"2","issued":{"date-parts":[["2022","12","9"]]},"page":"181-202","title":"Use of visuals in sustainability reporting by New Zealand Stock Exchange (NZX) listed companies: an impression management perspective","type":"article-journal","volume":"31"},"uris":["http://www.mendeley.com/documents/?uuid=12218b4b-54c5-492f-a30d-32d5feb57ed0"]}],"mendeley":{"formattedCitation":"(Momin et al., 2022)","manualFormatting":"Momin et al. (2022)","plainTextFormattedCitation":"(Momin et al., 2022)","previouslyFormattedCitation":"(Momin et al., 2022)"},"properties":{"noteIndex":0},"schema":"https://github.com/citation-style-language/schema/raw/master/csl-citation.json"}</w:instrText>
      </w:r>
      <w:r>
        <w:rPr>
          <w:rFonts w:eastAsia="Segoe UI" w:cs="Segoe UI"/>
          <w:lang w:val="sv-SE"/>
        </w:rPr>
        <w:fldChar w:fldCharType="separate"/>
      </w:r>
      <w:r w:rsidRPr="006562C8">
        <w:rPr>
          <w:rFonts w:eastAsia="Segoe UI" w:cs="Segoe UI"/>
          <w:noProof/>
          <w:lang w:val="sv-SE"/>
        </w:rPr>
        <w:t xml:space="preserve">Momin </w:t>
      </w:r>
      <w:r w:rsidRPr="006562C8">
        <w:rPr>
          <w:rFonts w:eastAsia="Segoe UI" w:cs="Segoe UI"/>
          <w:i/>
          <w:iCs/>
          <w:noProof/>
          <w:lang w:val="sv-SE"/>
        </w:rPr>
        <w:t>et al</w:t>
      </w:r>
      <w:r w:rsidRPr="006562C8">
        <w:rPr>
          <w:rFonts w:eastAsia="Segoe UI" w:cs="Segoe UI"/>
          <w:noProof/>
          <w:lang w:val="sv-SE"/>
        </w:rPr>
        <w:t xml:space="preserve">. </w:t>
      </w:r>
      <w:r>
        <w:rPr>
          <w:rFonts w:eastAsia="Segoe UI" w:cs="Segoe UI"/>
          <w:noProof/>
          <w:lang w:val="sv-SE"/>
        </w:rPr>
        <w:t>(</w:t>
      </w:r>
      <w:r w:rsidRPr="006562C8">
        <w:rPr>
          <w:rFonts w:eastAsia="Segoe UI" w:cs="Segoe UI"/>
          <w:noProof/>
          <w:lang w:val="sv-SE"/>
        </w:rPr>
        <w:t>2022)</w:t>
      </w:r>
      <w:r>
        <w:rPr>
          <w:rFonts w:eastAsia="Segoe UI" w:cs="Segoe UI"/>
          <w:lang w:val="sv-SE"/>
        </w:rPr>
        <w:fldChar w:fldCharType="end"/>
      </w:r>
      <w:r w:rsidRPr="00423848">
        <w:rPr>
          <w:rFonts w:eastAsia="Segoe UI" w:cs="Segoe UI"/>
          <w:lang w:val="sv-SE"/>
        </w:rPr>
        <w:t xml:space="preserve"> menemukan bahwa foto, tabel, dan gambar dalam laporan keberlanjutan digunakan untuk menyampaikan pesan keberlanjutan yang bersifat simbolik, dengan makna konotatif yang menuntun pembaca pada kesan tertentu. Visual dipilih karena bekerja lebih cepat daripada narasi, sebab pembaca menyerap gambar sebelum sempat </w:t>
      </w:r>
      <w:r>
        <w:rPr>
          <w:rFonts w:eastAsia="Segoe UI" w:cs="Segoe UI"/>
          <w:lang w:val="sv-SE"/>
        </w:rPr>
        <w:t>menimbang-nimbang</w:t>
      </w:r>
      <w:r w:rsidRPr="00423848">
        <w:rPr>
          <w:rFonts w:eastAsia="Segoe UI" w:cs="Segoe UI"/>
          <w:lang w:val="sv-SE"/>
        </w:rPr>
        <w:t xml:space="preserve"> angkanya.</w:t>
      </w:r>
    </w:p>
    <w:p w14:paraId="1234E6C1" w14:textId="4368C502" w:rsidR="006562C8" w:rsidRPr="00423848" w:rsidRDefault="006562C8" w:rsidP="00141B83">
      <w:pPr>
        <w:spacing w:after="0" w:line="240" w:lineRule="auto"/>
        <w:ind w:left="567" w:right="40" w:firstLine="567"/>
        <w:rPr>
          <w:lang w:val="sv-SE"/>
        </w:rPr>
      </w:pPr>
      <w:r w:rsidRPr="00423848">
        <w:rPr>
          <w:rFonts w:eastAsia="Segoe UI" w:cs="Segoe UI"/>
          <w:lang w:val="sv-SE"/>
        </w:rPr>
        <w:t xml:space="preserve">Bentuk ketiga adalah pengelolaan nada dan bahasa. Kajian mutakhir menunjukkan adanya jurang sistematis pada dimensi nada dan analitis antara laporan keberlanjutan dan laporan manajemen, yang mengindikasikan penggunaan taktik kesan yang lebih intensif </w:t>
      </w:r>
      <w:r>
        <w:rPr>
          <w:rFonts w:eastAsia="Segoe UI" w:cs="Segoe UI"/>
          <w:lang w:val="sv-SE"/>
        </w:rPr>
        <w:t>dalam</w:t>
      </w:r>
      <w:r w:rsidRPr="00423848">
        <w:rPr>
          <w:rFonts w:eastAsia="Segoe UI" w:cs="Segoe UI"/>
          <w:lang w:val="sv-SE"/>
        </w:rPr>
        <w:t xml:space="preserve"> laporan keberlanjutan </w:t>
      </w:r>
      <w:r>
        <w:rPr>
          <w:rFonts w:eastAsia="Segoe UI" w:cs="Segoe UI"/>
          <w:lang w:val="sv-SE"/>
        </w:rPr>
        <w:fldChar w:fldCharType="begin" w:fldLock="1"/>
      </w:r>
      <w:r w:rsidR="00240A97">
        <w:rPr>
          <w:rFonts w:eastAsia="Segoe UI" w:cs="Segoe UI"/>
          <w:lang w:val="sv-SE"/>
        </w:rPr>
        <w:instrText>ADDIN CSL_CITATION {"citationItems":[{"id":"ITEM-1","itemData":{"DOI":"10.3390/su17188342","ISBN":"2071-1050","abstract":"The current study examined the impression management gap between sustainability and management reports, which in this study serves as a proxy for greenwashing in sustainability reporting. The study sample comprised 192 reports from 24 companies, covering the period 2020–2023. Impression management gaps were estimated across four dimensions—tone, analytical thinking, authenticity, and clout—using textual analysis with the Linguistic Inquiry Word Count software. Our findings reveal significant impression management gaps for tone, clout, and analytics dimensions throughout the entire research sample, confirming a more pronounced use of impression management techniques in sustainability reporting. Despite increasing regulatory pressure during the study period, the calculated gaps did not show signs of decreasing. The results further indicate a high likelihood of greenwashing in the Services and Manufacturing sectors, and a lower likelihood in the Utilities sector. Such gaps risk misleading stakeholders by shaping perceptions that diverge from a company’s actual sustainability practices. Our findings suggest that greenwashing can be effectively detected through textual analysis of disclosures, particularly when conducting comparative studies between different reports. Building on these results, we argue that targeted reporting standards, advanced assurance methodologies, and clearer boundaries for impression management are essential to curbing greenwashing and strengthening the integrity of sustainability communication.","author":[{"dropping-particle":"","family":"Sneideriene","given":"Agne","non-dropping-particle":"","parse-names":false,"suffix":""},{"dropping-particle":"","family":"Legenzova","given":"Renata","non-dropping-particle":"","parse-names":false,"suffix":""}],"container-title":"Sustainability","id":"ITEM-1","issue":"18","issued":{"date-parts":[["2025"]]},"page":"8342","title":"Uncovering Greenwashing: Investigating Impression Management Gap in Corporate Reporting","type":"article","volume":"17"},"uris":["http://www.mendeley.com/documents/?uuid=ae0cda7e-8795-4783-a93d-a477d047e94d"]}],"mendeley":{"formattedCitation":"(Sneideriene &amp; Legenzova, 2025)","plainTextFormattedCitation":"(Sneideriene &amp; Legenzova, 2025)","previouslyFormattedCitation":"(Sneideriene &amp; Legenzova, 2025)"},"properties":{"noteIndex":0},"schema":"https://github.com/citation-style-language/schema/raw/master/csl-citation.json"}</w:instrText>
      </w:r>
      <w:r>
        <w:rPr>
          <w:rFonts w:eastAsia="Segoe UI" w:cs="Segoe UI"/>
          <w:lang w:val="sv-SE"/>
        </w:rPr>
        <w:fldChar w:fldCharType="separate"/>
      </w:r>
      <w:r w:rsidRPr="006562C8">
        <w:rPr>
          <w:rFonts w:eastAsia="Segoe UI" w:cs="Segoe UI"/>
          <w:noProof/>
          <w:lang w:val="sv-SE"/>
        </w:rPr>
        <w:t>(Sneideriene &amp; Legenzova, 2025)</w:t>
      </w:r>
      <w:r>
        <w:rPr>
          <w:rFonts w:eastAsia="Segoe UI" w:cs="Segoe UI"/>
          <w:lang w:val="sv-SE"/>
        </w:rPr>
        <w:fldChar w:fldCharType="end"/>
      </w:r>
      <w:r w:rsidRPr="00423848">
        <w:rPr>
          <w:rFonts w:eastAsia="Segoe UI" w:cs="Segoe UI"/>
          <w:lang w:val="sv-SE"/>
        </w:rPr>
        <w:t xml:space="preserve">. Nada yang optimistis, bahasa yang kabur, serta kalimat berpola baku membuat laporan terdengar meyakinkan tanpa benar-benar terverifikasi. </w:t>
      </w:r>
      <w:r w:rsidRPr="00423848">
        <w:rPr>
          <w:rFonts w:eastAsia="Segoe UI" w:cs="Segoe UI"/>
          <w:lang w:val="sv-SE"/>
        </w:rPr>
        <w:lastRenderedPageBreak/>
        <w:t>Bentuk keempat adalah pemisahan antara klaim dan tindakan, ketika pengungkapan berjalan terpisah dari praktik yang sesungguhnya</w:t>
      </w:r>
      <w:r w:rsidR="00240A97">
        <w:rPr>
          <w:rFonts w:eastAsia="Segoe UI" w:cs="Segoe UI"/>
          <w:lang w:val="sv-SE"/>
        </w:rPr>
        <w:t>—sebuah gejala yang dikenal sebagai decoupling —</w:t>
      </w:r>
      <w:r w:rsidRPr="00423848">
        <w:rPr>
          <w:rFonts w:eastAsia="Segoe UI" w:cs="Segoe UI"/>
          <w:lang w:val="sv-SE"/>
        </w:rPr>
        <w:t xml:space="preserve">dan terbukti direspons secara berbeda oleh pasar </w:t>
      </w:r>
      <w:r w:rsidR="00240A97">
        <w:rPr>
          <w:rFonts w:eastAsia="Segoe UI" w:cs="Segoe UI"/>
          <w:lang w:val="sv-SE"/>
        </w:rPr>
        <w:fldChar w:fldCharType="begin" w:fldLock="1"/>
      </w:r>
      <w:r w:rsidR="00240A97">
        <w:rPr>
          <w:rFonts w:eastAsia="Segoe UI" w:cs="Segoe UI"/>
          <w:lang w:val="sv-SE"/>
        </w:rPr>
        <w:instrText>ADDIN CSL_CITATION {"citationItems":[{"id":"ITEM-1","itemData":{"DOI":"10.1177/0007650319898839","author":[{"dropping-particle":"","family":"García-Sánchez","given":"Isabel-María","non-dropping-particle":"","parse-names":false,"suffix":""},{"dropping-particle":"","family":"Hussain","given":"Nazim","non-dropping-particle":"","parse-names":false,"suffix":""},{"dropping-particle":"","family":"Khan","given":"Sana-Akbar","non-dropping-particle":"","parse-names":false,"suffix":""},{"dropping-particle":"","family":"Martínez-Ferrero","given":"Jennifer","non-dropping-particle":"","parse-names":false,"suffix":""}],"container-title":"Business &amp; Society","id":"ITEM-1","issue":"6","issued":{"date-parts":[["2021"]]},"page":"1431-1467","publisher":"SAGE Publications","title":"Do Markets Punish or Reward Corporate Social Responsibility Decoupling?","type":"article-journal","volume":"60"},"uris":["http://www.mendeley.com/documents/?uuid=c20ef061-a1e3-4876-9833-c7d1985c0496"]}],"mendeley":{"formattedCitation":"(García-Sánchez et al., 2021)","plainTextFormattedCitation":"(García-Sánchez et al., 2021)","previouslyFormattedCitation":"(García-Sánchez et al., 2021)"},"properties":{"noteIndex":0},"schema":"https://github.com/citation-style-language/schema/raw/master/csl-citation.json"}</w:instrText>
      </w:r>
      <w:r w:rsidR="00240A97">
        <w:rPr>
          <w:rFonts w:eastAsia="Segoe UI" w:cs="Segoe UI"/>
          <w:lang w:val="sv-SE"/>
        </w:rPr>
        <w:fldChar w:fldCharType="separate"/>
      </w:r>
      <w:r w:rsidR="00240A97" w:rsidRPr="00240A97">
        <w:rPr>
          <w:rFonts w:eastAsia="Segoe UI" w:cs="Segoe UI"/>
          <w:noProof/>
          <w:lang w:val="sv-SE"/>
        </w:rPr>
        <w:t xml:space="preserve">(García-Sánchez </w:t>
      </w:r>
      <w:r w:rsidR="00240A97" w:rsidRPr="00240A97">
        <w:rPr>
          <w:rFonts w:eastAsia="Segoe UI" w:cs="Segoe UI"/>
          <w:i/>
          <w:iCs/>
          <w:noProof/>
          <w:lang w:val="sv-SE"/>
        </w:rPr>
        <w:t>et al</w:t>
      </w:r>
      <w:r w:rsidR="00240A97" w:rsidRPr="00240A97">
        <w:rPr>
          <w:rFonts w:eastAsia="Segoe UI" w:cs="Segoe UI"/>
          <w:noProof/>
          <w:lang w:val="sv-SE"/>
        </w:rPr>
        <w:t>., 2021)</w:t>
      </w:r>
      <w:r w:rsidR="00240A97">
        <w:rPr>
          <w:rFonts w:eastAsia="Segoe UI" w:cs="Segoe UI"/>
          <w:lang w:val="sv-SE"/>
        </w:rPr>
        <w:fldChar w:fldCharType="end"/>
      </w:r>
      <w:r w:rsidRPr="00423848">
        <w:rPr>
          <w:rFonts w:eastAsia="Segoe UI" w:cs="Segoe UI"/>
          <w:lang w:val="sv-SE"/>
        </w:rPr>
        <w:t xml:space="preserve">. Konsekuensinya tidak ringan, sebab perilaku ini terbukti menurunkan penciptaan nilai bersama melalui </w:t>
      </w:r>
      <w:r w:rsidR="00240A97">
        <w:rPr>
          <w:rFonts w:eastAsia="Segoe UI" w:cs="Segoe UI"/>
          <w:lang w:val="sv-SE"/>
        </w:rPr>
        <w:t>penguatan</w:t>
      </w:r>
      <w:r w:rsidRPr="00423848">
        <w:rPr>
          <w:rFonts w:eastAsia="Segoe UI" w:cs="Segoe UI"/>
          <w:lang w:val="sv-SE"/>
        </w:rPr>
        <w:t xml:space="preserve"> asimetri informasi </w:t>
      </w:r>
      <w:r w:rsidR="00240A97">
        <w:rPr>
          <w:rFonts w:eastAsia="Segoe UI" w:cs="Segoe UI"/>
          <w:lang w:val="sv-SE"/>
        </w:rPr>
        <w:fldChar w:fldCharType="begin" w:fldLock="1"/>
      </w:r>
      <w:r w:rsidR="004B2979">
        <w:rPr>
          <w:rFonts w:eastAsia="Segoe UI" w:cs="Segoe UI"/>
          <w:lang w:val="sv-SE"/>
        </w:rPr>
        <w:instrText>ADDIN CSL_CITATION {"citationItems":[{"id":"ITEM-1","itemData":{"DOI":"10.1371/journal.pone.0279904","author":[{"dropping-particle":"","family":"Xu","given":"Wei","non-dropping-particle":"","parse-names":false,"suffix":""},{"dropping-particle":"","family":"Li","given":"Mingzhu","non-dropping-particle":"","parse-names":false,"suffix":""},{"dropping-particle":"","family":"Xu","given":"Sen","non-dropping-particle":"","parse-names":false,"suffix":""}],"container-title":"PLOS ONE","id":"ITEM-1","issue":"1","issued":{"date-parts":[["2023"]]},"page":"e0279904","publisher":"Public Library of Science","title":"Unveiling the ``Veil'' of information disclosure: Sustainability reporting ``greenwashing'' and ``shared value''","type":"article-journal","volume":"18"},"uris":["http://www.mendeley.com/documents/?uuid=9b987cb7-fec1-4621-9e05-85e1b512e350"]}],"mendeley":{"formattedCitation":"(Xu et al., 2023)","plainTextFormattedCitation":"(Xu et al., 2023)","previouslyFormattedCitation":"(Xu et al., 2023)"},"properties":{"noteIndex":0},"schema":"https://github.com/citation-style-language/schema/raw/master/csl-citation.json"}</w:instrText>
      </w:r>
      <w:r w:rsidR="00240A97">
        <w:rPr>
          <w:rFonts w:eastAsia="Segoe UI" w:cs="Segoe UI"/>
          <w:lang w:val="sv-SE"/>
        </w:rPr>
        <w:fldChar w:fldCharType="separate"/>
      </w:r>
      <w:r w:rsidR="00240A97" w:rsidRPr="00240A97">
        <w:rPr>
          <w:rFonts w:eastAsia="Segoe UI" w:cs="Segoe UI"/>
          <w:noProof/>
          <w:lang w:val="sv-SE"/>
        </w:rPr>
        <w:t>(Xu et al., 2023)</w:t>
      </w:r>
      <w:r w:rsidR="00240A97">
        <w:rPr>
          <w:rFonts w:eastAsia="Segoe UI" w:cs="Segoe UI"/>
          <w:lang w:val="sv-SE"/>
        </w:rPr>
        <w:fldChar w:fldCharType="end"/>
      </w:r>
      <w:r w:rsidRPr="00423848">
        <w:rPr>
          <w:rFonts w:eastAsia="Segoe UI" w:cs="Segoe UI"/>
          <w:lang w:val="sv-SE"/>
        </w:rPr>
        <w:t>.</w:t>
      </w:r>
    </w:p>
    <w:p w14:paraId="38086729" w14:textId="77777777" w:rsidR="00240A97" w:rsidRDefault="00240A97" w:rsidP="00141B83">
      <w:pPr>
        <w:spacing w:after="0"/>
        <w:ind w:left="567"/>
        <w:jc w:val="center"/>
        <w:rPr>
          <w:rFonts w:eastAsia="Segoe UI" w:cs="Segoe UI"/>
          <w:b/>
          <w:bCs/>
          <w:sz w:val="20"/>
          <w:szCs w:val="20"/>
          <w:lang w:val="sv-SE"/>
        </w:rPr>
      </w:pPr>
    </w:p>
    <w:p w14:paraId="004E5244" w14:textId="770C904A" w:rsidR="00240A97" w:rsidRPr="00423848" w:rsidRDefault="00240A97" w:rsidP="00141B83">
      <w:pPr>
        <w:spacing w:after="60"/>
        <w:ind w:left="567"/>
        <w:jc w:val="center"/>
        <w:rPr>
          <w:lang w:val="sv-SE"/>
        </w:rPr>
      </w:pPr>
      <w:r w:rsidRPr="00423848">
        <w:rPr>
          <w:rFonts w:eastAsia="Segoe UI" w:cs="Segoe UI"/>
          <w:b/>
          <w:bCs/>
          <w:sz w:val="20"/>
          <w:szCs w:val="20"/>
          <w:lang w:val="sv-SE"/>
        </w:rPr>
        <w:t xml:space="preserve">Tabel 2. </w:t>
      </w:r>
      <w:r w:rsidRPr="00423848">
        <w:rPr>
          <w:rFonts w:eastAsia="Segoe UI" w:cs="Segoe UI"/>
          <w:sz w:val="20"/>
          <w:szCs w:val="20"/>
          <w:lang w:val="sv-SE"/>
        </w:rPr>
        <w:t xml:space="preserve">Pemetaan Keperilakuan atas Praktik </w:t>
      </w:r>
      <w:r w:rsidRPr="00423848">
        <w:rPr>
          <w:rFonts w:eastAsia="Segoe UI" w:cs="Segoe UI"/>
          <w:i/>
          <w:iCs/>
          <w:sz w:val="20"/>
          <w:szCs w:val="20"/>
          <w:lang w:val="sv-SE"/>
        </w:rPr>
        <w:t>Greenwashing</w:t>
      </w:r>
      <w:r w:rsidRPr="00423848">
        <w:rPr>
          <w:rFonts w:eastAsia="Segoe UI" w:cs="Segoe UI"/>
          <w:sz w:val="20"/>
          <w:szCs w:val="20"/>
          <w:lang w:val="sv-SE"/>
        </w:rPr>
        <w:t xml:space="preserve"> dalam Pelaporan Keberlanjutan</w:t>
      </w:r>
    </w:p>
    <w:tbl>
      <w:tblPr>
        <w:tblW w:w="9438"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3300"/>
        <w:gridCol w:w="4238"/>
      </w:tblGrid>
      <w:tr w:rsidR="00240A97" w14:paraId="1CBE8429" w14:textId="77777777" w:rsidTr="00240A97">
        <w:tblPrEx>
          <w:tblCellMar>
            <w:top w:w="0" w:type="dxa"/>
            <w:bottom w:w="0" w:type="dxa"/>
          </w:tblCellMar>
        </w:tblPrEx>
        <w:trPr>
          <w:tblHeader/>
        </w:trPr>
        <w:tc>
          <w:tcPr>
            <w:tcW w:w="1900" w:type="dxa"/>
            <w:tcBorders>
              <w:top w:val="single" w:sz="4" w:space="0" w:color="000000"/>
              <w:left w:val="nil"/>
              <w:bottom w:val="single" w:sz="4" w:space="0" w:color="000000"/>
              <w:right w:val="nil"/>
            </w:tcBorders>
          </w:tcPr>
          <w:p w14:paraId="57B6A051" w14:textId="77777777" w:rsidR="00240A97" w:rsidRDefault="00240A97" w:rsidP="00240A97">
            <w:pPr>
              <w:spacing w:after="20"/>
              <w:ind w:left="69" w:right="-32"/>
              <w:jc w:val="left"/>
            </w:pPr>
            <w:r>
              <w:rPr>
                <w:rFonts w:eastAsia="Segoe UI" w:cs="Segoe UI"/>
                <w:b/>
                <w:bCs/>
                <w:sz w:val="18"/>
                <w:szCs w:val="18"/>
              </w:rPr>
              <w:t>Unsur Segitiga</w:t>
            </w:r>
          </w:p>
        </w:tc>
        <w:tc>
          <w:tcPr>
            <w:tcW w:w="3300" w:type="dxa"/>
            <w:tcBorders>
              <w:top w:val="single" w:sz="4" w:space="0" w:color="000000"/>
              <w:left w:val="nil"/>
              <w:bottom w:val="single" w:sz="4" w:space="0" w:color="000000"/>
              <w:right w:val="nil"/>
            </w:tcBorders>
          </w:tcPr>
          <w:p w14:paraId="14312450" w14:textId="77777777" w:rsidR="00240A97" w:rsidRDefault="00240A97" w:rsidP="00240A97">
            <w:pPr>
              <w:spacing w:after="20"/>
              <w:ind w:left="154" w:right="-32"/>
              <w:jc w:val="left"/>
            </w:pPr>
            <w:r>
              <w:rPr>
                <w:rFonts w:eastAsia="Segoe UI" w:cs="Segoe UI"/>
                <w:b/>
                <w:bCs/>
                <w:sz w:val="18"/>
                <w:szCs w:val="18"/>
              </w:rPr>
              <w:t>Manifestasi Keperilakuan</w:t>
            </w:r>
          </w:p>
        </w:tc>
        <w:tc>
          <w:tcPr>
            <w:tcW w:w="4238" w:type="dxa"/>
            <w:tcBorders>
              <w:top w:val="single" w:sz="4" w:space="0" w:color="000000"/>
              <w:left w:val="nil"/>
              <w:bottom w:val="single" w:sz="4" w:space="0" w:color="000000"/>
              <w:right w:val="nil"/>
            </w:tcBorders>
          </w:tcPr>
          <w:p w14:paraId="3C4ACD9B" w14:textId="77777777" w:rsidR="00240A97" w:rsidRDefault="00240A97" w:rsidP="00240A97">
            <w:pPr>
              <w:spacing w:after="20"/>
              <w:ind w:left="256" w:right="-32"/>
              <w:jc w:val="left"/>
            </w:pPr>
            <w:r>
              <w:rPr>
                <w:rFonts w:eastAsia="Segoe UI" w:cs="Segoe UI"/>
                <w:b/>
                <w:bCs/>
                <w:sz w:val="18"/>
                <w:szCs w:val="18"/>
              </w:rPr>
              <w:t>Wujud dalam Laporan</w:t>
            </w:r>
          </w:p>
        </w:tc>
      </w:tr>
      <w:tr w:rsidR="00240A97" w14:paraId="6F0AE070" w14:textId="77777777" w:rsidTr="00240A97">
        <w:tblPrEx>
          <w:tblCellMar>
            <w:top w:w="0" w:type="dxa"/>
            <w:bottom w:w="0" w:type="dxa"/>
          </w:tblCellMar>
        </w:tblPrEx>
        <w:tc>
          <w:tcPr>
            <w:tcW w:w="1900" w:type="dxa"/>
            <w:tcBorders>
              <w:top w:val="single" w:sz="4" w:space="0" w:color="000000"/>
              <w:left w:val="nil"/>
              <w:bottom w:val="nil"/>
              <w:right w:val="nil"/>
            </w:tcBorders>
          </w:tcPr>
          <w:p w14:paraId="53E0CBFF" w14:textId="77777777" w:rsidR="00240A97" w:rsidRPr="00240A97" w:rsidRDefault="00240A97" w:rsidP="00240A97">
            <w:pPr>
              <w:spacing w:after="20"/>
              <w:ind w:left="69"/>
              <w:rPr>
                <w:b/>
                <w:bCs/>
              </w:rPr>
            </w:pPr>
            <w:r w:rsidRPr="00240A97">
              <w:rPr>
                <w:rFonts w:eastAsia="Segoe UI" w:cs="Segoe UI"/>
                <w:b/>
                <w:bCs/>
                <w:sz w:val="18"/>
                <w:szCs w:val="18"/>
              </w:rPr>
              <w:t>Tekanan</w:t>
            </w:r>
          </w:p>
        </w:tc>
        <w:tc>
          <w:tcPr>
            <w:tcW w:w="3300" w:type="dxa"/>
            <w:tcBorders>
              <w:top w:val="single" w:sz="4" w:space="0" w:color="000000"/>
              <w:left w:val="nil"/>
              <w:bottom w:val="nil"/>
              <w:right w:val="nil"/>
            </w:tcBorders>
          </w:tcPr>
          <w:p w14:paraId="71FECAD4" w14:textId="77777777" w:rsidR="00240A97" w:rsidRPr="00423848" w:rsidRDefault="00240A97" w:rsidP="00240A97">
            <w:pPr>
              <w:spacing w:after="20"/>
              <w:ind w:left="154"/>
              <w:rPr>
                <w:lang w:val="sv-SE"/>
              </w:rPr>
            </w:pPr>
            <w:r w:rsidRPr="00423848">
              <w:rPr>
                <w:rFonts w:eastAsia="Segoe UI" w:cs="Segoe UI"/>
                <w:sz w:val="18"/>
                <w:szCs w:val="18"/>
                <w:lang w:val="sv-SE"/>
              </w:rPr>
              <w:t>Desakan legitimasi dan reputasi; citra dituntut melampaui kinerja aktual</w:t>
            </w:r>
          </w:p>
        </w:tc>
        <w:tc>
          <w:tcPr>
            <w:tcW w:w="4238" w:type="dxa"/>
            <w:tcBorders>
              <w:top w:val="single" w:sz="4" w:space="0" w:color="000000"/>
              <w:left w:val="nil"/>
              <w:bottom w:val="nil"/>
              <w:right w:val="nil"/>
            </w:tcBorders>
          </w:tcPr>
          <w:p w14:paraId="56B81502" w14:textId="77777777" w:rsidR="00240A97" w:rsidRDefault="00240A97" w:rsidP="00240A97">
            <w:pPr>
              <w:spacing w:after="20"/>
              <w:ind w:left="256"/>
            </w:pPr>
            <w:r>
              <w:rPr>
                <w:rFonts w:eastAsia="Segoe UI" w:cs="Segoe UI"/>
                <w:sz w:val="18"/>
                <w:szCs w:val="18"/>
              </w:rPr>
              <w:t>Klaim aspiratif tanpa target terukur; penonjolan penghargaan dan sertifikasi</w:t>
            </w:r>
          </w:p>
        </w:tc>
      </w:tr>
      <w:tr w:rsidR="00240A97" w:rsidRPr="00423848" w14:paraId="6630B55D" w14:textId="77777777" w:rsidTr="00240A97">
        <w:tblPrEx>
          <w:tblCellMar>
            <w:top w:w="0" w:type="dxa"/>
            <w:bottom w:w="0" w:type="dxa"/>
          </w:tblCellMar>
        </w:tblPrEx>
        <w:tc>
          <w:tcPr>
            <w:tcW w:w="1900" w:type="dxa"/>
            <w:tcBorders>
              <w:top w:val="nil"/>
              <w:left w:val="nil"/>
              <w:bottom w:val="nil"/>
              <w:right w:val="nil"/>
            </w:tcBorders>
          </w:tcPr>
          <w:p w14:paraId="0F512C6A" w14:textId="77777777" w:rsidR="00240A97" w:rsidRPr="00240A97" w:rsidRDefault="00240A97" w:rsidP="00240A97">
            <w:pPr>
              <w:spacing w:after="20"/>
              <w:ind w:left="69"/>
              <w:rPr>
                <w:b/>
                <w:bCs/>
              </w:rPr>
            </w:pPr>
            <w:r w:rsidRPr="00240A97">
              <w:rPr>
                <w:rFonts w:eastAsia="Segoe UI" w:cs="Segoe UI"/>
                <w:b/>
                <w:bCs/>
                <w:sz w:val="18"/>
                <w:szCs w:val="18"/>
              </w:rPr>
              <w:t>Peluang</w:t>
            </w:r>
          </w:p>
        </w:tc>
        <w:tc>
          <w:tcPr>
            <w:tcW w:w="3300" w:type="dxa"/>
            <w:tcBorders>
              <w:top w:val="nil"/>
              <w:left w:val="nil"/>
              <w:bottom w:val="nil"/>
              <w:right w:val="nil"/>
            </w:tcBorders>
          </w:tcPr>
          <w:p w14:paraId="38219E93" w14:textId="77777777" w:rsidR="00240A97" w:rsidRPr="00423848" w:rsidRDefault="00240A97" w:rsidP="00240A97">
            <w:pPr>
              <w:spacing w:after="20"/>
              <w:ind w:left="154"/>
              <w:rPr>
                <w:lang w:val="sv-SE"/>
              </w:rPr>
            </w:pPr>
            <w:r w:rsidRPr="00423848">
              <w:rPr>
                <w:rFonts w:eastAsia="Segoe UI" w:cs="Segoe UI"/>
                <w:sz w:val="18"/>
                <w:szCs w:val="18"/>
                <w:lang w:val="sv-SE"/>
              </w:rPr>
              <w:t>Keleluasaan menafsir akibat sifat sukarela, keragaman standar, dan kebebasan menentukan batasan</w:t>
            </w:r>
          </w:p>
        </w:tc>
        <w:tc>
          <w:tcPr>
            <w:tcW w:w="4238" w:type="dxa"/>
            <w:tcBorders>
              <w:top w:val="nil"/>
              <w:left w:val="nil"/>
              <w:bottom w:val="nil"/>
              <w:right w:val="nil"/>
            </w:tcBorders>
          </w:tcPr>
          <w:p w14:paraId="7CCD2C7D" w14:textId="77777777" w:rsidR="00240A97" w:rsidRPr="00423848" w:rsidRDefault="00240A97" w:rsidP="00240A97">
            <w:pPr>
              <w:spacing w:after="20"/>
              <w:ind w:left="256"/>
              <w:rPr>
                <w:lang w:val="sv-SE"/>
              </w:rPr>
            </w:pPr>
            <w:r w:rsidRPr="00423848">
              <w:rPr>
                <w:rFonts w:eastAsia="Segoe UI" w:cs="Segoe UI"/>
                <w:sz w:val="18"/>
                <w:szCs w:val="18"/>
                <w:lang w:val="sv-SE"/>
              </w:rPr>
              <w:t>Pemilihan indikator yang menguntungkan; perubahan tahun dasar; batasan pelaporan yang menyempit</w:t>
            </w:r>
          </w:p>
        </w:tc>
      </w:tr>
      <w:tr w:rsidR="00240A97" w:rsidRPr="00423848" w14:paraId="5E8D7401" w14:textId="77777777" w:rsidTr="00240A97">
        <w:tblPrEx>
          <w:tblCellMar>
            <w:top w:w="0" w:type="dxa"/>
            <w:bottom w:w="0" w:type="dxa"/>
          </w:tblCellMar>
        </w:tblPrEx>
        <w:tc>
          <w:tcPr>
            <w:tcW w:w="1900" w:type="dxa"/>
            <w:tcBorders>
              <w:top w:val="nil"/>
              <w:left w:val="nil"/>
              <w:bottom w:val="single" w:sz="4" w:space="0" w:color="000000"/>
              <w:right w:val="nil"/>
            </w:tcBorders>
          </w:tcPr>
          <w:p w14:paraId="75AA97A9" w14:textId="77777777" w:rsidR="00240A97" w:rsidRPr="00240A97" w:rsidRDefault="00240A97" w:rsidP="00240A97">
            <w:pPr>
              <w:spacing w:after="20"/>
              <w:ind w:left="69"/>
              <w:rPr>
                <w:b/>
                <w:bCs/>
              </w:rPr>
            </w:pPr>
            <w:r w:rsidRPr="00240A97">
              <w:rPr>
                <w:rFonts w:eastAsia="Segoe UI" w:cs="Segoe UI"/>
                <w:b/>
                <w:bCs/>
                <w:sz w:val="18"/>
                <w:szCs w:val="18"/>
              </w:rPr>
              <w:t>Rasionalisasi</w:t>
            </w:r>
          </w:p>
        </w:tc>
        <w:tc>
          <w:tcPr>
            <w:tcW w:w="3300" w:type="dxa"/>
            <w:tcBorders>
              <w:top w:val="nil"/>
              <w:left w:val="nil"/>
              <w:bottom w:val="single" w:sz="4" w:space="0" w:color="000000"/>
              <w:right w:val="nil"/>
            </w:tcBorders>
          </w:tcPr>
          <w:p w14:paraId="2C89174C" w14:textId="77777777" w:rsidR="00240A97" w:rsidRPr="00423848" w:rsidRDefault="00240A97" w:rsidP="00240A97">
            <w:pPr>
              <w:spacing w:after="20"/>
              <w:ind w:left="154"/>
              <w:rPr>
                <w:lang w:val="sv-SE"/>
              </w:rPr>
            </w:pPr>
            <w:r w:rsidRPr="00423848">
              <w:rPr>
                <w:rFonts w:eastAsia="Segoe UI" w:cs="Segoe UI"/>
                <w:sz w:val="18"/>
                <w:szCs w:val="18"/>
                <w:lang w:val="sv-SE"/>
              </w:rPr>
              <w:t>Pelepasan moral melalui pembenaran, pengaburan tanggung jawab, dan pembandingan yang menguntungkan</w:t>
            </w:r>
          </w:p>
        </w:tc>
        <w:tc>
          <w:tcPr>
            <w:tcW w:w="4238" w:type="dxa"/>
            <w:tcBorders>
              <w:top w:val="nil"/>
              <w:left w:val="nil"/>
              <w:bottom w:val="single" w:sz="4" w:space="0" w:color="000000"/>
              <w:right w:val="nil"/>
            </w:tcBorders>
          </w:tcPr>
          <w:p w14:paraId="224F7D7A" w14:textId="77777777" w:rsidR="00240A97" w:rsidRPr="00423848" w:rsidRDefault="00240A97" w:rsidP="00240A97">
            <w:pPr>
              <w:spacing w:after="20"/>
              <w:ind w:left="256"/>
              <w:rPr>
                <w:lang w:val="sv-SE"/>
              </w:rPr>
            </w:pPr>
            <w:r w:rsidRPr="00423848">
              <w:rPr>
                <w:rFonts w:eastAsia="Segoe UI" w:cs="Segoe UI"/>
                <w:sz w:val="18"/>
                <w:szCs w:val="18"/>
                <w:lang w:val="sv-SE"/>
              </w:rPr>
              <w:t>Bahasa kabur dan berpola baku; penghilangan peristiwa negatif; nada optimistis yang tidak terverifikasi</w:t>
            </w:r>
          </w:p>
        </w:tc>
      </w:tr>
    </w:tbl>
    <w:p w14:paraId="0968FDD6" w14:textId="08AD1A23" w:rsidR="002F2804" w:rsidRDefault="00240A97" w:rsidP="00FE3BFB">
      <w:pPr>
        <w:spacing w:after="0"/>
        <w:ind w:left="567"/>
        <w:rPr>
          <w:rFonts w:eastAsia="Segoe UI" w:cs="Segoe UI"/>
          <w:i/>
          <w:iCs/>
          <w:sz w:val="18"/>
          <w:szCs w:val="18"/>
          <w:lang w:val="sv-SE"/>
        </w:rPr>
      </w:pPr>
      <w:r w:rsidRPr="00423848">
        <w:rPr>
          <w:rFonts w:eastAsia="Segoe UI" w:cs="Segoe UI"/>
          <w:i/>
          <w:iCs/>
          <w:sz w:val="18"/>
          <w:szCs w:val="18"/>
          <w:lang w:val="sv-SE"/>
        </w:rPr>
        <w:t xml:space="preserve">Sumber: Diolah </w:t>
      </w:r>
      <w:r>
        <w:rPr>
          <w:rFonts w:eastAsia="Segoe UI" w:cs="Segoe UI"/>
          <w:i/>
          <w:iCs/>
          <w:sz w:val="18"/>
          <w:szCs w:val="18"/>
          <w:lang w:val="sv-SE"/>
        </w:rPr>
        <w:t xml:space="preserve">oleh </w:t>
      </w:r>
      <w:r w:rsidRPr="00423848">
        <w:rPr>
          <w:rFonts w:eastAsia="Segoe UI" w:cs="Segoe UI"/>
          <w:i/>
          <w:iCs/>
          <w:sz w:val="18"/>
          <w:szCs w:val="18"/>
          <w:lang w:val="sv-SE"/>
        </w:rPr>
        <w:t>penulis dari Kurpierz &amp; Smith (2020)</w:t>
      </w:r>
      <w:r w:rsidR="004B2979">
        <w:rPr>
          <w:rFonts w:eastAsia="Segoe UI" w:cs="Segoe UI"/>
          <w:i/>
          <w:iCs/>
          <w:sz w:val="18"/>
          <w:szCs w:val="18"/>
          <w:lang w:val="sv-SE"/>
        </w:rPr>
        <w:t xml:space="preserve"> dan</w:t>
      </w:r>
      <w:r w:rsidRPr="00423848">
        <w:rPr>
          <w:rFonts w:eastAsia="Segoe UI" w:cs="Segoe UI"/>
          <w:i/>
          <w:iCs/>
          <w:sz w:val="18"/>
          <w:szCs w:val="18"/>
          <w:lang w:val="sv-SE"/>
        </w:rPr>
        <w:t xml:space="preserve"> Khan dkk. (2021); Momin dkk. (2023); Sinned &amp; Legenzova (2025)</w:t>
      </w:r>
    </w:p>
    <w:p w14:paraId="19F46A85" w14:textId="77777777" w:rsidR="00FE3BFB" w:rsidRDefault="00FE3BFB" w:rsidP="00FE3BFB">
      <w:pPr>
        <w:spacing w:after="0"/>
        <w:ind w:left="567"/>
        <w:rPr>
          <w:lang w:val="sv-SE"/>
        </w:rPr>
      </w:pPr>
    </w:p>
    <w:p w14:paraId="4F0E3E14" w14:textId="77777777" w:rsidR="00FE3BFB" w:rsidRPr="00FE3BFB" w:rsidRDefault="00FE3BFB" w:rsidP="003D4A21">
      <w:pPr>
        <w:pStyle w:val="Heading2"/>
        <w:spacing w:before="0" w:line="240" w:lineRule="auto"/>
        <w:rPr>
          <w:szCs w:val="24"/>
          <w:lang w:val="sv-SE"/>
        </w:rPr>
      </w:pPr>
      <w:r w:rsidRPr="00FE3BFB">
        <w:rPr>
          <w:rFonts w:eastAsia="Segoe UI" w:cs="Segoe UI"/>
          <w:bCs/>
          <w:color w:val="000000"/>
          <w:szCs w:val="24"/>
          <w:lang w:val="sv-SE"/>
        </w:rPr>
        <w:t>3.4 Rasionalisasi dan Mekanisme Pelepasan Moral</w:t>
      </w:r>
    </w:p>
    <w:p w14:paraId="4CADD94D" w14:textId="4156EDDE" w:rsidR="00141B83" w:rsidRPr="00423848" w:rsidRDefault="00141B83" w:rsidP="003D4A21">
      <w:pPr>
        <w:spacing w:after="120" w:line="240" w:lineRule="auto"/>
        <w:ind w:left="567" w:firstLine="567"/>
        <w:rPr>
          <w:lang w:val="sv-SE"/>
        </w:rPr>
      </w:pPr>
      <w:r w:rsidRPr="00423848">
        <w:rPr>
          <w:rFonts w:eastAsia="Segoe UI" w:cs="Segoe UI"/>
          <w:lang w:val="sv-SE"/>
        </w:rPr>
        <w:t xml:space="preserve">Pertanyaan yang paling menarik secara keperilakuan bukanlah bagaimana </w:t>
      </w:r>
      <w:r w:rsidRPr="00423848">
        <w:rPr>
          <w:rFonts w:eastAsia="Segoe UI" w:cs="Segoe UI"/>
          <w:i/>
          <w:iCs/>
          <w:lang w:val="sv-SE"/>
        </w:rPr>
        <w:t>greenwashing</w:t>
      </w:r>
      <w:r w:rsidRPr="00423848">
        <w:rPr>
          <w:rFonts w:eastAsia="Segoe UI" w:cs="Segoe UI"/>
          <w:lang w:val="sv-SE"/>
        </w:rPr>
        <w:t xml:space="preserve"> dilakukan, melainkan bagaimana pelakunya tetap merasa dirinya jujur. Teori pelepasan moral menjelaskan bahwa individu mampu menonaktifkan pengendalian moral internalnya melalui sejumlah mekanisme, sehingga tindakan yang secara umum dinilai keliru dapat diterima oleh pelakunya sendiri </w:t>
      </w:r>
      <w:r w:rsidR="004B2979">
        <w:rPr>
          <w:rFonts w:eastAsia="Segoe UI" w:cs="Segoe UI"/>
          <w:lang w:val="sv-SE"/>
        </w:rPr>
        <w:fldChar w:fldCharType="begin" w:fldLock="1"/>
      </w:r>
      <w:r w:rsidR="004B2979">
        <w:rPr>
          <w:rFonts w:eastAsia="Segoe UI" w:cs="Segoe UI"/>
          <w:lang w:val="sv-SE"/>
        </w:rPr>
        <w:instrText>ADDIN CSL_CITATION {"citationItems":[{"id":"ITEM-1","itemData":{"DOI":"10.1207/s15327957pspr0303_3","author":[{"dropping-particle":"","family":"Bandura","given":"Albert","non-dropping-particle":"","parse-names":false,"suffix":""}],"container-title":"Personality and Social Psychology Review","id":"ITEM-1","issue":"3","issued":{"date-parts":[["1999"]]},"page":"193-209","publisher":"SAGE Publications","title":"Moral Disengagement in the Perpetration of Inhumanities","type":"article-journal","volume":"3"},"uris":["http://www.mendeley.com/documents/?uuid=f148a81a-482d-4ecf-9f87-3e78a04cf49a"]}],"mendeley":{"formattedCitation":"(Bandura, 1999)","plainTextFormattedCitation":"(Bandura, 1999)","previouslyFormattedCitation":"(Bandura, 1999)"},"properties":{"noteIndex":0},"schema":"https://github.com/citation-style-language/schema/raw/master/csl-citation.json"}</w:instrText>
      </w:r>
      <w:r w:rsidR="004B2979">
        <w:rPr>
          <w:rFonts w:eastAsia="Segoe UI" w:cs="Segoe UI"/>
          <w:lang w:val="sv-SE"/>
        </w:rPr>
        <w:fldChar w:fldCharType="separate"/>
      </w:r>
      <w:r w:rsidR="004B2979" w:rsidRPr="004B2979">
        <w:rPr>
          <w:rFonts w:eastAsia="Segoe UI" w:cs="Segoe UI"/>
          <w:noProof/>
          <w:lang w:val="sv-SE"/>
        </w:rPr>
        <w:t>(Bandura, 1999)</w:t>
      </w:r>
      <w:r w:rsidR="004B2979">
        <w:rPr>
          <w:rFonts w:eastAsia="Segoe UI" w:cs="Segoe UI"/>
          <w:lang w:val="sv-SE"/>
        </w:rPr>
        <w:fldChar w:fldCharType="end"/>
      </w:r>
      <w:r w:rsidRPr="00423848">
        <w:rPr>
          <w:rFonts w:eastAsia="Segoe UI" w:cs="Segoe UI"/>
          <w:lang w:val="sv-SE"/>
        </w:rPr>
        <w:t xml:space="preserve">. Mekanisme tersebut sangat relevan untuk </w:t>
      </w:r>
      <w:r>
        <w:rPr>
          <w:rFonts w:eastAsia="Segoe UI" w:cs="Segoe UI"/>
          <w:lang w:val="sv-SE"/>
        </w:rPr>
        <w:t>memahami</w:t>
      </w:r>
      <w:r w:rsidRPr="00423848">
        <w:rPr>
          <w:rFonts w:eastAsia="Segoe UI" w:cs="Segoe UI"/>
          <w:lang w:val="sv-SE"/>
        </w:rPr>
        <w:t xml:space="preserve"> perilaku penyusun laporan keberlanjutan.</w:t>
      </w:r>
    </w:p>
    <w:p w14:paraId="447641E1" w14:textId="09162BEA" w:rsidR="00141B83" w:rsidRPr="00423848" w:rsidRDefault="00141B83" w:rsidP="003D4A21">
      <w:pPr>
        <w:spacing w:after="120" w:line="240" w:lineRule="auto"/>
        <w:ind w:left="567" w:firstLine="567"/>
        <w:rPr>
          <w:lang w:val="sv-SE"/>
        </w:rPr>
      </w:pPr>
      <w:r w:rsidRPr="00423848">
        <w:rPr>
          <w:rFonts w:eastAsia="Segoe UI" w:cs="Segoe UI"/>
          <w:lang w:val="sv-SE"/>
        </w:rPr>
        <w:t xml:space="preserve">Mekanisme pertama adalah pembenaran melalui tujuan yang dianggap luhur, ketika penonjolan capaian dipandang sebagai upaya </w:t>
      </w:r>
      <w:r w:rsidR="004B2979">
        <w:rPr>
          <w:rFonts w:eastAsia="Segoe UI" w:cs="Segoe UI"/>
          <w:lang w:val="sv-SE"/>
        </w:rPr>
        <w:t xml:space="preserve">untuk </w:t>
      </w:r>
      <w:r w:rsidRPr="00423848">
        <w:rPr>
          <w:rFonts w:eastAsia="Segoe UI" w:cs="Segoe UI"/>
          <w:lang w:val="sv-SE"/>
        </w:rPr>
        <w:t xml:space="preserve">memotivasi organisasi menuju keberlanjutan. Mekanisme kedua adalah pelabelan yang memperhalus, ketika penghilangan informasi disebut sebagai penyesuaian materialitas dan klaim berlebihan disebut sebagai komunikasi strategis. Mekanisme ketiga adalah penyebaran tanggung jawab, ketika laporan disusun oleh banyak pihak sehingga tidak seorang pun merasa menjadi penanggung jawab tunggal atas keseluruhan kesan yang terbentuk. Mekanisme keempat adalah </w:t>
      </w:r>
      <w:r w:rsidR="004B2979">
        <w:rPr>
          <w:rFonts w:eastAsia="Segoe UI" w:cs="Segoe UI"/>
          <w:lang w:val="sv-SE"/>
        </w:rPr>
        <w:t>perbandingan</w:t>
      </w:r>
      <w:r w:rsidRPr="00423848">
        <w:rPr>
          <w:rFonts w:eastAsia="Segoe UI" w:cs="Segoe UI"/>
          <w:lang w:val="sv-SE"/>
        </w:rPr>
        <w:t xml:space="preserve"> yang menguntungkan ketika praktik perusahaan dinilai wajar karena dianggap tidak lebih buruk daripada praktik umum di industrinya.</w:t>
      </w:r>
    </w:p>
    <w:p w14:paraId="1B869445" w14:textId="77906BE9" w:rsidR="003D4A21" w:rsidRDefault="00141B83" w:rsidP="003D4A21">
      <w:pPr>
        <w:spacing w:after="0" w:line="240" w:lineRule="auto"/>
        <w:ind w:left="567" w:firstLine="567"/>
        <w:rPr>
          <w:rFonts w:eastAsia="Segoe UI" w:cs="Segoe UI"/>
          <w:lang w:val="sv-SE"/>
        </w:rPr>
      </w:pPr>
      <w:r w:rsidRPr="00423848">
        <w:rPr>
          <w:rFonts w:eastAsia="Segoe UI" w:cs="Segoe UI"/>
          <w:lang w:val="sv-SE"/>
        </w:rPr>
        <w:t xml:space="preserve">Relevansi mekanisme ini bagi akuntansi bukan sekadar dugaan. </w:t>
      </w:r>
      <w:r w:rsidR="004B2979">
        <w:rPr>
          <w:rFonts w:eastAsia="Segoe UI" w:cs="Segoe UI"/>
          <w:lang w:val="sv-SE"/>
        </w:rPr>
        <w:fldChar w:fldCharType="begin" w:fldLock="1"/>
      </w:r>
      <w:r w:rsidR="004B2979">
        <w:rPr>
          <w:rFonts w:eastAsia="Segoe UI" w:cs="Segoe UI"/>
          <w:lang w:val="sv-SE"/>
        </w:rPr>
        <w:instrText>ADDIN CSL_CITATION {"citationItems":[{"id":"ITEM-1","itemData":{"DOI":"10.1007/s10551-021-04896-z","ISSN":"1573-0697","abstract":"We extend the Theory of Planned Behavior (TPB) for ethics in the workplace. Using a path modeling methodology, we find evidence that, for ethics, moral disengagement is an antecedent to the TPB predictors of attitude, subjective norms, and perceived behavioral control (PBC). We show that the TPB predictors mediate the influence moral disengagement has on ethical behavioral intentions. Thus, to improve ethical behavior, reducing moral disengagement is critical. We find support for including both types of PBC (self-efficacy and locus of control) when modeling ethical behavior. We use four ethics scenarios and international data to test this model. We also evaluate potential positive influences on ethics in the workplace and find that recency of ethics training interacts with religiosity and activates it to reduce moral disengagement. We also find that principles-based ethics training enhances professionals’ self-efficacy to behave ethically. Experience, including time as a member in a professional accounting organization, increases both locus of control and self-efficacy to behave ethically. These variables—recency of ethical training, religiosity, principles-based professional ethics training, and experience—influence parts of the core TPB model, which in turn lead to improved ethical behavioral intentions.","author":[{"dropping-particle":"","family":"Black","given":"Ervin L","non-dropping-particle":"","parse-names":false,"suffix":""},{"dropping-particle":"","family":"Burton","given":"F Greg","non-dropping-particle":"","parse-names":false,"suffix":""},{"dropping-particle":"","family":"Cieslewicz","given":"Joshua K","non-dropping-particle":"","parse-names":false,"suffix":""}],"container-title":"Journal of Business Ethics","id":"ITEM-1","issue":"4","issued":{"date-parts":[["2022"]]},"page":"945-978","title":"Improving Ethics: Extending the Theory of Planned Behavior to Include Moral Disengagement","type":"article-journal","volume":"181"},"uris":["http://www.mendeley.com/documents/?uuid=fe735624-756a-4fcb-988b-9b840b966bfe"]}],"mendeley":{"formattedCitation":"(Black et al., 2022)","manualFormatting":"Black et al. (2022)","plainTextFormattedCitation":"(Black et al., 2022)","previouslyFormattedCitation":"(Black et al., 2022)"},"properties":{"noteIndex":0},"schema":"https://github.com/citation-style-language/schema/raw/master/csl-citation.json"}</w:instrText>
      </w:r>
      <w:r w:rsidR="004B2979">
        <w:rPr>
          <w:rFonts w:eastAsia="Segoe UI" w:cs="Segoe UI"/>
          <w:lang w:val="sv-SE"/>
        </w:rPr>
        <w:fldChar w:fldCharType="separate"/>
      </w:r>
      <w:r w:rsidR="004B2979" w:rsidRPr="004B2979">
        <w:rPr>
          <w:rFonts w:eastAsia="Segoe UI" w:cs="Segoe UI"/>
          <w:noProof/>
          <w:lang w:val="sv-SE"/>
        </w:rPr>
        <w:t xml:space="preserve">Black et al. </w:t>
      </w:r>
      <w:r w:rsidR="004B2979">
        <w:rPr>
          <w:rFonts w:eastAsia="Segoe UI" w:cs="Segoe UI"/>
          <w:noProof/>
          <w:lang w:val="sv-SE"/>
        </w:rPr>
        <w:t>(</w:t>
      </w:r>
      <w:r w:rsidR="004B2979" w:rsidRPr="004B2979">
        <w:rPr>
          <w:rFonts w:eastAsia="Segoe UI" w:cs="Segoe UI"/>
          <w:noProof/>
          <w:lang w:val="sv-SE"/>
        </w:rPr>
        <w:t>2022)</w:t>
      </w:r>
      <w:r w:rsidR="004B2979">
        <w:rPr>
          <w:rFonts w:eastAsia="Segoe UI" w:cs="Segoe UI"/>
          <w:lang w:val="sv-SE"/>
        </w:rPr>
        <w:fldChar w:fldCharType="end"/>
      </w:r>
      <w:r w:rsidRPr="00423848">
        <w:rPr>
          <w:rFonts w:eastAsia="Segoe UI" w:cs="Segoe UI"/>
          <w:lang w:val="sv-SE"/>
        </w:rPr>
        <w:t xml:space="preserve"> memperluas teori perilaku terencana dengan memasukkan pelepasan moral dan menunjukkan bahwa penambahan tersebut </w:t>
      </w:r>
      <w:r w:rsidR="004B2979">
        <w:rPr>
          <w:rFonts w:eastAsia="Segoe UI" w:cs="Segoe UI"/>
          <w:lang w:val="sv-SE"/>
        </w:rPr>
        <w:t>meningkatkan</w:t>
      </w:r>
      <w:r w:rsidRPr="00423848">
        <w:rPr>
          <w:rFonts w:eastAsia="Segoe UI" w:cs="Segoe UI"/>
          <w:lang w:val="sv-SE"/>
        </w:rPr>
        <w:t xml:space="preserve"> penjelasan </w:t>
      </w:r>
      <w:r w:rsidR="004B2979">
        <w:rPr>
          <w:rFonts w:eastAsia="Segoe UI" w:cs="Segoe UI"/>
          <w:lang w:val="sv-SE"/>
        </w:rPr>
        <w:t>terhadap</w:t>
      </w:r>
      <w:r w:rsidRPr="00423848">
        <w:rPr>
          <w:rFonts w:eastAsia="Segoe UI" w:cs="Segoe UI"/>
          <w:lang w:val="sv-SE"/>
        </w:rPr>
        <w:t xml:space="preserve"> perilaku etis, termasuk </w:t>
      </w:r>
      <w:r w:rsidR="004B2979">
        <w:rPr>
          <w:rFonts w:eastAsia="Segoe UI" w:cs="Segoe UI"/>
          <w:lang w:val="sv-SE"/>
        </w:rPr>
        <w:t>dalam</w:t>
      </w:r>
      <w:r w:rsidRPr="00423848">
        <w:rPr>
          <w:rFonts w:eastAsia="Segoe UI" w:cs="Segoe UI"/>
          <w:lang w:val="sv-SE"/>
        </w:rPr>
        <w:t xml:space="preserve"> konteks akuntansi. Temuan ini membawa implikasi penting. Selama rasionalisasi tidak disentuh, penambahan indikator justru dapat menghasilkan laporan yang lebih tebal tanpa menjadi lebih jujur. Karena niat berperilaku dibentuk oleh sikap, norma subjektif, dan persepsi kendali perilaku </w:t>
      </w:r>
      <w:r w:rsidR="004B2979">
        <w:rPr>
          <w:rFonts w:eastAsia="Segoe UI" w:cs="Segoe UI"/>
          <w:lang w:val="sv-SE"/>
        </w:rPr>
        <w:fldChar w:fldCharType="begin" w:fldLock="1"/>
      </w:r>
      <w:r w:rsidR="008B5ED1">
        <w:rPr>
          <w:rFonts w:eastAsia="Segoe UI" w:cs="Segoe UI"/>
          <w:lang w:val="sv-SE"/>
        </w:rPr>
        <w:instrText>ADDIN CSL_CITATION {"citationItems":[{"id":"ITEM-1","itemData":{"DOI":"10.1016/0749-5978(91)90020-T","author":[{"dropping-particle":"","family":"Ajzen","given":"Icek","non-dropping-particle":"","parse-names":false,"suffix":""}],"container-title":"Organizational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behavior","type":"article-journal","volume":"50"},"uris":["http://www.mendeley.com/documents/?uuid=fdbb6f13-6c1a-4941-894b-02eaa5f62303"]}],"mendeley":{"formattedCitation":"(Ajzen, 1991)","plainTextFormattedCitation":"(Ajzen, 1991)","previouslyFormattedCitation":"(Ajzen, 1991)"},"properties":{"noteIndex":0},"schema":"https://github.com/citation-style-language/schema/raw/master/csl-citation.json"}</w:instrText>
      </w:r>
      <w:r w:rsidR="004B2979">
        <w:rPr>
          <w:rFonts w:eastAsia="Segoe UI" w:cs="Segoe UI"/>
          <w:lang w:val="sv-SE"/>
        </w:rPr>
        <w:fldChar w:fldCharType="separate"/>
      </w:r>
      <w:r w:rsidR="004B2979" w:rsidRPr="004B2979">
        <w:rPr>
          <w:rFonts w:eastAsia="Segoe UI" w:cs="Segoe UI"/>
          <w:noProof/>
          <w:lang w:val="sv-SE"/>
        </w:rPr>
        <w:t>(Ajzen, 1991)</w:t>
      </w:r>
      <w:r w:rsidR="004B2979">
        <w:rPr>
          <w:rFonts w:eastAsia="Segoe UI" w:cs="Segoe UI"/>
          <w:lang w:val="sv-SE"/>
        </w:rPr>
        <w:fldChar w:fldCharType="end"/>
      </w:r>
      <w:r w:rsidR="003D4A21">
        <w:rPr>
          <w:rFonts w:eastAsia="Segoe UI" w:cs="Segoe UI"/>
          <w:lang w:val="sv-SE"/>
        </w:rPr>
        <w:t xml:space="preserve"> </w:t>
      </w:r>
      <w:r w:rsidRPr="00423848">
        <w:rPr>
          <w:rFonts w:eastAsia="Segoe UI" w:cs="Segoe UI"/>
          <w:lang w:val="sv-SE"/>
        </w:rPr>
        <w:t>intervensi yang efektif harus menyentuh ketiganya, yakni membentuk sikap yang menempatkan kejujuran pelaporan sebagai nilai profesional, membangun norma kerja yang tidak menganggap wajar klaim berlebihan, serta memberi penyusun laporan keyakinan bahwa mereka mampu menolak tekanan untuk memoles</w:t>
      </w:r>
      <w:r w:rsidR="004B2979">
        <w:rPr>
          <w:rFonts w:eastAsia="Segoe UI" w:cs="Segoe UI"/>
          <w:lang w:val="sv-SE"/>
        </w:rPr>
        <w:t xml:space="preserve"> laporan</w:t>
      </w:r>
      <w:r w:rsidRPr="00423848">
        <w:rPr>
          <w:rFonts w:eastAsia="Segoe UI" w:cs="Segoe UI"/>
          <w:lang w:val="sv-SE"/>
        </w:rPr>
        <w:t>.</w:t>
      </w:r>
    </w:p>
    <w:p w14:paraId="4EF1778E" w14:textId="77777777" w:rsidR="003D4A21" w:rsidRDefault="003D4A21" w:rsidP="003D4A21">
      <w:pPr>
        <w:spacing w:after="0" w:line="264" w:lineRule="auto"/>
        <w:ind w:left="567" w:firstLine="567"/>
        <w:rPr>
          <w:rFonts w:eastAsia="Segoe UI" w:cs="Segoe UI"/>
          <w:lang w:val="sv-SE"/>
        </w:rPr>
      </w:pPr>
    </w:p>
    <w:p w14:paraId="48AA2812" w14:textId="2FC10917" w:rsidR="003D4A21" w:rsidRPr="003D4A21" w:rsidRDefault="003D4A21" w:rsidP="008B5ED1">
      <w:pPr>
        <w:spacing w:after="0" w:line="240" w:lineRule="auto"/>
        <w:ind w:left="567"/>
        <w:rPr>
          <w:i/>
          <w:iCs/>
          <w:sz w:val="24"/>
          <w:szCs w:val="24"/>
          <w:lang w:val="sv-SE"/>
        </w:rPr>
      </w:pPr>
      <w:r w:rsidRPr="003D4A21">
        <w:rPr>
          <w:rFonts w:eastAsia="Segoe UI" w:cs="Segoe UI"/>
          <w:b/>
          <w:bCs/>
          <w:i/>
          <w:iCs/>
          <w:color w:val="000000"/>
          <w:sz w:val="24"/>
          <w:szCs w:val="24"/>
          <w:lang w:val="sv-SE"/>
        </w:rPr>
        <w:lastRenderedPageBreak/>
        <w:t>3.5 Kerangka Konseptual dan Proposisi</w:t>
      </w:r>
    </w:p>
    <w:p w14:paraId="1C2F93E8" w14:textId="6849E400" w:rsidR="003D4A21" w:rsidRPr="003D4A21" w:rsidRDefault="003D4A21" w:rsidP="008B5ED1">
      <w:pPr>
        <w:spacing w:after="120" w:line="240" w:lineRule="auto"/>
        <w:ind w:left="567" w:firstLine="567"/>
        <w:rPr>
          <w:rFonts w:eastAsia="Segoe UI" w:cs="Segoe UI"/>
          <w:lang w:val="sv-SE"/>
        </w:rPr>
      </w:pPr>
      <w:r w:rsidRPr="00423848">
        <w:rPr>
          <w:rFonts w:eastAsia="Segoe UI" w:cs="Segoe UI"/>
          <w:lang w:val="sv-SE"/>
        </w:rPr>
        <w:t xml:space="preserve">Sintesis ketiga tema tersebut menghasilkan kerangka konseptual sebagaimana disajikan pada Gambar 1. Kerangka ini menempatkan tekanan, peluang, dan rasionalisasi sebagai anteseden yang bekerja melalui taktik manajemen kesan, sehingga menghasilkan jurang antara citra dan kenyataan. Dua unsur yang bersifat menahan, yaitu </w:t>
      </w:r>
      <w:r>
        <w:rPr>
          <w:rFonts w:eastAsia="Segoe UI" w:cs="Segoe UI"/>
          <w:lang w:val="sv-SE"/>
        </w:rPr>
        <w:t>asuransi</w:t>
      </w:r>
      <w:r w:rsidRPr="00423848">
        <w:rPr>
          <w:rFonts w:eastAsia="Segoe UI" w:cs="Segoe UI"/>
          <w:lang w:val="sv-SE"/>
        </w:rPr>
        <w:t xml:space="preserve"> dan regulasi di satu sisi serta etika dan norma profesi di sisi lain, bekerja pada titik yang berbeda</w:t>
      </w:r>
      <w:r>
        <w:rPr>
          <w:rFonts w:eastAsia="Segoe UI" w:cs="Segoe UI"/>
          <w:lang w:val="sv-SE"/>
        </w:rPr>
        <w:t>:</w:t>
      </w:r>
      <w:r w:rsidRPr="00423848">
        <w:rPr>
          <w:rFonts w:eastAsia="Segoe UI" w:cs="Segoe UI"/>
          <w:lang w:val="sv-SE"/>
        </w:rPr>
        <w:t xml:space="preserve"> yang pertama menyempitkan peluang</w:t>
      </w:r>
      <w:r>
        <w:rPr>
          <w:rFonts w:eastAsia="Segoe UI" w:cs="Segoe UI"/>
          <w:lang w:val="sv-SE"/>
        </w:rPr>
        <w:t>,</w:t>
      </w:r>
      <w:r w:rsidRPr="00423848">
        <w:rPr>
          <w:rFonts w:eastAsia="Segoe UI" w:cs="Segoe UI"/>
          <w:lang w:val="sv-SE"/>
        </w:rPr>
        <w:t xml:space="preserve"> sedangkan yang kedua menyempitkan ruang rasionalisasi.</w:t>
      </w:r>
    </w:p>
    <w:p w14:paraId="2666C131" w14:textId="7CE57581" w:rsidR="00FE3BFB" w:rsidRPr="002F2804" w:rsidRDefault="003D4A21" w:rsidP="002F2804">
      <w:pPr>
        <w:rPr>
          <w:lang w:val="sv-SE"/>
        </w:rPr>
      </w:pPr>
      <w:r>
        <w:rPr>
          <w:noProof/>
        </w:rPr>
        <w:drawing>
          <wp:anchor distT="0" distB="0" distL="114300" distR="114300" simplePos="0" relativeHeight="251667456" behindDoc="1" locked="0" layoutInCell="1" allowOverlap="1" wp14:anchorId="09D9D073" wp14:editId="7C301E5D">
            <wp:simplePos x="0" y="0"/>
            <wp:positionH relativeFrom="margin">
              <wp:align>center</wp:align>
            </wp:positionH>
            <wp:positionV relativeFrom="paragraph">
              <wp:posOffset>3810</wp:posOffset>
            </wp:positionV>
            <wp:extent cx="4451350" cy="2877820"/>
            <wp:effectExtent l="0" t="0" r="6350" b="0"/>
            <wp:wrapTight wrapText="bothSides">
              <wp:wrapPolygon edited="0">
                <wp:start x="0" y="0"/>
                <wp:lineTo x="0" y="21447"/>
                <wp:lineTo x="21538" y="21447"/>
                <wp:lineTo x="21538" y="0"/>
                <wp:lineTo x="0" y="0"/>
              </wp:wrapPolygon>
            </wp:wrapTight>
            <wp:docPr id="1474357549" name="Picture 1474357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51350" cy="2877820"/>
                    </a:xfrm>
                    <a:prstGeom prst="rect">
                      <a:avLst/>
                    </a:prstGeom>
                  </pic:spPr>
                </pic:pic>
              </a:graphicData>
            </a:graphic>
            <wp14:sizeRelH relativeFrom="margin">
              <wp14:pctWidth>0</wp14:pctWidth>
            </wp14:sizeRelH>
            <wp14:sizeRelV relativeFrom="margin">
              <wp14:pctHeight>0</wp14:pctHeight>
            </wp14:sizeRelV>
          </wp:anchor>
        </w:drawing>
      </w:r>
    </w:p>
    <w:p w14:paraId="7EB6EFF7" w14:textId="77777777" w:rsidR="002F2804" w:rsidRPr="00423848" w:rsidRDefault="002F2804" w:rsidP="002F2804">
      <w:pPr>
        <w:spacing w:after="120" w:line="264" w:lineRule="auto"/>
        <w:ind w:right="78"/>
        <w:rPr>
          <w:lang w:val="sv-SE"/>
        </w:rPr>
      </w:pPr>
    </w:p>
    <w:p w14:paraId="7D7257F5" w14:textId="77777777" w:rsidR="001E0508" w:rsidRPr="001E0508" w:rsidRDefault="001E0508" w:rsidP="001E0508">
      <w:pPr>
        <w:pStyle w:val="IEEEParagraph"/>
        <w:ind w:firstLine="567"/>
        <w:rPr>
          <w:rFonts w:ascii="Segoe UI" w:hAnsi="Segoe UI" w:cs="Segoe UI"/>
          <w:sz w:val="24"/>
          <w:lang w:val="sv-SE"/>
        </w:rPr>
      </w:pPr>
    </w:p>
    <w:p w14:paraId="26A54FE3" w14:textId="75BCC118" w:rsidR="001E0508" w:rsidRPr="001E0508" w:rsidRDefault="001E0508" w:rsidP="00EA7E75">
      <w:pPr>
        <w:pStyle w:val="IEEEParagraph"/>
        <w:ind w:firstLine="567"/>
        <w:jc w:val="center"/>
        <w:rPr>
          <w:rFonts w:ascii="Segoe UI" w:hAnsi="Segoe UI" w:cs="Segoe UI"/>
          <w:sz w:val="24"/>
        </w:rPr>
      </w:pPr>
    </w:p>
    <w:p w14:paraId="2E6A13A9"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0D6E5BF3"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33A7714F"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1577F2D7"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1B9AED66"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7EFFD52A"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5230C7B7"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7B523A8C"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4F335A2F"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24477DB5"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6B434078"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1849197D" w14:textId="77777777" w:rsidR="003D4A21" w:rsidRDefault="003D4A21" w:rsidP="00985560">
      <w:pPr>
        <w:pStyle w:val="IEEEFigureCaptionMulti-Lines"/>
        <w:spacing w:before="0" w:after="0"/>
        <w:ind w:left="567" w:right="322"/>
        <w:contextualSpacing/>
        <w:jc w:val="center"/>
        <w:rPr>
          <w:rStyle w:val="mediumtext"/>
          <w:rFonts w:ascii="Segoe UI" w:hAnsi="Segoe UI" w:cs="Segoe UI"/>
          <w:b/>
          <w:bCs/>
          <w:sz w:val="20"/>
          <w:szCs w:val="20"/>
          <w:shd w:val="clear" w:color="auto" w:fill="FFFFFF"/>
          <w:lang w:val="sv-SE"/>
        </w:rPr>
      </w:pPr>
    </w:p>
    <w:p w14:paraId="70B4B7A6" w14:textId="77777777" w:rsidR="003D4A21" w:rsidRPr="00423848" w:rsidRDefault="001E0508" w:rsidP="008B5ED1">
      <w:pPr>
        <w:spacing w:after="20" w:line="240" w:lineRule="auto"/>
        <w:jc w:val="center"/>
        <w:rPr>
          <w:lang w:val="sv-SE"/>
        </w:rPr>
      </w:pPr>
      <w:r w:rsidRPr="003F2074">
        <w:rPr>
          <w:rStyle w:val="mediumtext"/>
          <w:rFonts w:cs="Segoe UI"/>
          <w:b/>
          <w:bCs/>
          <w:sz w:val="20"/>
          <w:szCs w:val="20"/>
          <w:shd w:val="clear" w:color="auto" w:fill="FFFFFF"/>
          <w:lang w:val="sv-SE"/>
        </w:rPr>
        <w:t>Gambar 1</w:t>
      </w:r>
      <w:r w:rsidRPr="003F2074">
        <w:rPr>
          <w:rStyle w:val="mediumtext"/>
          <w:rFonts w:cs="Segoe UI"/>
          <w:sz w:val="20"/>
          <w:szCs w:val="20"/>
          <w:shd w:val="clear" w:color="auto" w:fill="FFFFFF"/>
          <w:lang w:val="sv-SE"/>
        </w:rPr>
        <w:t xml:space="preserve">. </w:t>
      </w:r>
      <w:r w:rsidR="003D4A21" w:rsidRPr="00423848">
        <w:rPr>
          <w:rFonts w:eastAsia="Segoe UI" w:cs="Segoe UI"/>
          <w:sz w:val="20"/>
          <w:szCs w:val="20"/>
          <w:lang w:val="sv-SE"/>
        </w:rPr>
        <w:t xml:space="preserve">Kerangka konseptual pembacaan keperilakuan atas </w:t>
      </w:r>
      <w:r w:rsidR="003D4A21" w:rsidRPr="00423848">
        <w:rPr>
          <w:rFonts w:eastAsia="Segoe UI" w:cs="Segoe UI"/>
          <w:i/>
          <w:iCs/>
          <w:sz w:val="20"/>
          <w:szCs w:val="20"/>
          <w:lang w:val="sv-SE"/>
        </w:rPr>
        <w:t>greenwashing</w:t>
      </w:r>
    </w:p>
    <w:p w14:paraId="3F5766E0" w14:textId="39B7129D" w:rsidR="001E0508" w:rsidRDefault="003D4A21" w:rsidP="008B5ED1">
      <w:pPr>
        <w:spacing w:after="140" w:line="240" w:lineRule="auto"/>
        <w:jc w:val="center"/>
        <w:rPr>
          <w:rFonts w:eastAsia="Segoe UI" w:cs="Segoe UI"/>
          <w:i/>
          <w:iCs/>
          <w:sz w:val="18"/>
          <w:szCs w:val="18"/>
          <w:lang w:val="sv-SE"/>
        </w:rPr>
      </w:pPr>
      <w:r w:rsidRPr="00423848">
        <w:rPr>
          <w:rFonts w:eastAsia="Segoe UI" w:cs="Segoe UI"/>
          <w:i/>
          <w:iCs/>
          <w:sz w:val="18"/>
          <w:szCs w:val="18"/>
          <w:lang w:val="sv-SE"/>
        </w:rPr>
        <w:t>Sumber: Dikembangkan penulis (2026)</w:t>
      </w:r>
    </w:p>
    <w:p w14:paraId="4195E89D" w14:textId="77777777" w:rsidR="00D15939" w:rsidRPr="00D15939" w:rsidRDefault="00D15939" w:rsidP="008B5ED1">
      <w:pPr>
        <w:spacing w:after="140" w:line="240" w:lineRule="auto"/>
        <w:jc w:val="center"/>
        <w:rPr>
          <w:lang w:val="sv-SE"/>
        </w:rPr>
      </w:pPr>
    </w:p>
    <w:p w14:paraId="27FC3053" w14:textId="061CF5F6" w:rsidR="00D15939" w:rsidRPr="00423848" w:rsidRDefault="00D15939" w:rsidP="008B5ED1">
      <w:pPr>
        <w:spacing w:after="0" w:line="240" w:lineRule="auto"/>
        <w:ind w:left="567" w:firstLine="567"/>
        <w:rPr>
          <w:lang w:val="sv-SE"/>
        </w:rPr>
      </w:pPr>
      <w:r w:rsidRPr="00423848">
        <w:rPr>
          <w:rFonts w:eastAsia="Segoe UI" w:cs="Segoe UI"/>
          <w:lang w:val="sv-SE"/>
        </w:rPr>
        <w:t xml:space="preserve">Dari kerangka tersebut dirumuskan empat proposisi yang dapat diuji secara empiris </w:t>
      </w:r>
      <w:r>
        <w:rPr>
          <w:rFonts w:eastAsia="Segoe UI" w:cs="Segoe UI"/>
          <w:lang w:val="sv-SE"/>
        </w:rPr>
        <w:t>dalam</w:t>
      </w:r>
      <w:r w:rsidRPr="00423848">
        <w:rPr>
          <w:rFonts w:eastAsia="Segoe UI" w:cs="Segoe UI"/>
          <w:lang w:val="sv-SE"/>
        </w:rPr>
        <w:t xml:space="preserve"> penelitian </w:t>
      </w:r>
      <w:r>
        <w:rPr>
          <w:rFonts w:eastAsia="Segoe UI" w:cs="Segoe UI"/>
          <w:lang w:val="sv-SE"/>
        </w:rPr>
        <w:t>selanjutnya</w:t>
      </w:r>
      <w:r w:rsidRPr="00423848">
        <w:rPr>
          <w:rFonts w:eastAsia="Segoe UI" w:cs="Segoe UI"/>
          <w:lang w:val="sv-SE"/>
        </w:rPr>
        <w:t xml:space="preserve">. Proposisi pertama menyatakan bahwa semakin besar tekanan legitimasi yang dihadapi perusahaan, semakin tinggi intensitas taktik manajemen kesan dalam laporan keberlanjutannya. Proposisi kedua menyatakan bahwa semakin luas keleluasaan </w:t>
      </w:r>
      <w:r>
        <w:rPr>
          <w:rFonts w:eastAsia="Segoe UI" w:cs="Segoe UI"/>
          <w:lang w:val="sv-SE"/>
        </w:rPr>
        <w:t xml:space="preserve">dalam </w:t>
      </w:r>
      <w:r w:rsidRPr="00423848">
        <w:rPr>
          <w:rFonts w:eastAsia="Segoe UI" w:cs="Segoe UI"/>
          <w:lang w:val="sv-SE"/>
        </w:rPr>
        <w:t xml:space="preserve">pengukuran dan penentuan batasan pelaporan, semakin besar jurang antara citra dan kinerja aktual. Proposisi ketiga menyatakan bahwa semakin kuat mekanisme pelepasan moral pada penyusun laporan, semakin tinggi kecenderungannya </w:t>
      </w:r>
      <w:r>
        <w:rPr>
          <w:rFonts w:eastAsia="Segoe UI" w:cs="Segoe UI"/>
          <w:lang w:val="sv-SE"/>
        </w:rPr>
        <w:t xml:space="preserve">untuk </w:t>
      </w:r>
      <w:r w:rsidRPr="00423848">
        <w:rPr>
          <w:rFonts w:eastAsia="Segoe UI" w:cs="Segoe UI"/>
          <w:lang w:val="sv-SE"/>
        </w:rPr>
        <w:t xml:space="preserve">membenarkan penghilangan informasi yang tidak menguntungkan. Proposisi keempat menyatakan bahwa penguatan </w:t>
      </w:r>
      <w:r>
        <w:rPr>
          <w:rFonts w:eastAsia="Segoe UI" w:cs="Segoe UI"/>
          <w:lang w:val="sv-SE"/>
        </w:rPr>
        <w:t>asuransi</w:t>
      </w:r>
      <w:r w:rsidRPr="00423848">
        <w:rPr>
          <w:rFonts w:eastAsia="Segoe UI" w:cs="Segoe UI"/>
          <w:lang w:val="sv-SE"/>
        </w:rPr>
        <w:t xml:space="preserve"> berpengaruh terhadap unsur peluang, sedangkan penguatan norma etika profesi berpengaruh terhadap unsur rasionalisasi, sehingga keduanya tidak dapat saling menggantikan. Keempat proposisi ini sekaligus menjadi jembatan bagi pengujian empiris yang diuraikan pada bagian berikutnya.</w:t>
      </w:r>
    </w:p>
    <w:p w14:paraId="73AF01D9" w14:textId="77777777" w:rsidR="00985560" w:rsidRDefault="00985560" w:rsidP="008B5ED1">
      <w:pPr>
        <w:pStyle w:val="IEEEParagraph"/>
        <w:ind w:right="322"/>
        <w:rPr>
          <w:rStyle w:val="longtext"/>
          <w:rFonts w:ascii="Segoe UI" w:hAnsi="Segoe UI" w:cs="Segoe UI"/>
          <w:sz w:val="22"/>
          <w:szCs w:val="22"/>
          <w:lang w:val="sv-SE"/>
        </w:rPr>
      </w:pPr>
    </w:p>
    <w:p w14:paraId="09681D8A" w14:textId="718E3B08" w:rsidR="008B5ED1" w:rsidRPr="008B5ED1" w:rsidRDefault="008B5ED1" w:rsidP="008B5ED1">
      <w:pPr>
        <w:pStyle w:val="Heading2"/>
        <w:spacing w:before="0" w:line="240" w:lineRule="auto"/>
        <w:rPr>
          <w:rStyle w:val="longtext"/>
          <w:szCs w:val="24"/>
          <w:lang w:val="sv-SE"/>
        </w:rPr>
      </w:pPr>
      <w:r w:rsidRPr="008B5ED1">
        <w:rPr>
          <w:rFonts w:eastAsia="Segoe UI" w:cs="Segoe UI"/>
          <w:bCs/>
          <w:color w:val="000000"/>
          <w:szCs w:val="24"/>
          <w:lang w:val="sv-SE"/>
        </w:rPr>
        <w:t>3.6 Implikasi bagi Praktik Asurans, Regulasi, dan Pendidikan Akuntansi</w:t>
      </w:r>
    </w:p>
    <w:p w14:paraId="30C7B865" w14:textId="3E6D4134" w:rsidR="008B5ED1" w:rsidRPr="00423848" w:rsidRDefault="008B5ED1" w:rsidP="008B5ED1">
      <w:pPr>
        <w:spacing w:after="120" w:line="240" w:lineRule="auto"/>
        <w:ind w:left="567" w:firstLine="567"/>
        <w:rPr>
          <w:lang w:val="sv-SE"/>
        </w:rPr>
      </w:pPr>
      <w:r w:rsidRPr="00423848">
        <w:rPr>
          <w:rFonts w:eastAsia="Segoe UI" w:cs="Segoe UI"/>
          <w:lang w:val="sv-SE"/>
        </w:rPr>
        <w:t xml:space="preserve">Bagi praktik asurans, pembacaan keperilakuan menyarankan perluasan fokus penelaahan. Penelaah tidak cukup menguji keberadaan dan keakuratan angka yang disajikan, tetapi juga perlu menaruh perhatian pada </w:t>
      </w:r>
      <w:r>
        <w:rPr>
          <w:rFonts w:eastAsia="Segoe UI" w:cs="Segoe UI"/>
          <w:lang w:val="sv-SE"/>
        </w:rPr>
        <w:t>hal-hal</w:t>
      </w:r>
      <w:r w:rsidRPr="00423848">
        <w:rPr>
          <w:rFonts w:eastAsia="Segoe UI" w:cs="Segoe UI"/>
          <w:lang w:val="sv-SE"/>
        </w:rPr>
        <w:t xml:space="preserve"> yang tidak disajikan, </w:t>
      </w:r>
      <w:r>
        <w:rPr>
          <w:rFonts w:eastAsia="Segoe UI" w:cs="Segoe UI"/>
          <w:lang w:val="sv-SE"/>
        </w:rPr>
        <w:t>konsistensi nada antarlaporan, serta</w:t>
      </w:r>
      <w:r w:rsidRPr="00423848">
        <w:rPr>
          <w:rFonts w:eastAsia="Segoe UI" w:cs="Segoe UI"/>
          <w:lang w:val="sv-SE"/>
        </w:rPr>
        <w:t xml:space="preserve"> </w:t>
      </w:r>
      <w:r w:rsidRPr="00423848">
        <w:rPr>
          <w:rFonts w:eastAsia="Segoe UI" w:cs="Segoe UI"/>
          <w:lang w:val="sv-SE"/>
        </w:rPr>
        <w:lastRenderedPageBreak/>
        <w:t xml:space="preserve">kewajaran penyajian visual. Indikasi </w:t>
      </w:r>
      <w:r w:rsidRPr="00423848">
        <w:rPr>
          <w:rFonts w:eastAsia="Segoe UI" w:cs="Segoe UI"/>
          <w:i/>
          <w:iCs/>
          <w:lang w:val="sv-SE"/>
        </w:rPr>
        <w:t>greenwashing</w:t>
      </w:r>
      <w:r w:rsidRPr="00423848">
        <w:rPr>
          <w:rFonts w:eastAsia="Segoe UI" w:cs="Segoe UI"/>
          <w:lang w:val="sv-SE"/>
        </w:rPr>
        <w:t xml:space="preserve"> justru kerap tersembunyi pada celah antara dokumen, bukan pada isi satu dokumen tunggal.</w:t>
      </w:r>
    </w:p>
    <w:p w14:paraId="78F9BB5A" w14:textId="48765978" w:rsidR="008B5ED1" w:rsidRPr="00423848" w:rsidRDefault="008B5ED1" w:rsidP="008B5ED1">
      <w:pPr>
        <w:spacing w:after="120" w:line="240" w:lineRule="auto"/>
        <w:ind w:left="567" w:firstLine="567"/>
        <w:rPr>
          <w:lang w:val="sv-SE"/>
        </w:rPr>
      </w:pPr>
      <w:r w:rsidRPr="00423848">
        <w:rPr>
          <w:rFonts w:eastAsia="Segoe UI" w:cs="Segoe UI"/>
          <w:lang w:val="sv-SE"/>
        </w:rPr>
        <w:t xml:space="preserve">Bagi regulator dan penyusun standar, kajian ini menyarankan agar perbaikan tidak berhenti pada penyeragaman format. Penyempitan ruang kebijakan yang berlebihan, penetapan batasan yang jelas mengenai praktik manajemen kesan yang dapat diterima, serta kewajiban menyajikan informasi yang tidak menguntungkan merupakan langkah yang menyentuh unsur peluang sekaligus mempersempit ruang rasionalisasi. Pengalaman penguatan legislasi pelaporan keberlanjutan di Uni Eropa </w:t>
      </w:r>
      <w:r>
        <w:rPr>
          <w:rFonts w:eastAsia="Segoe UI" w:cs="Segoe UI"/>
          <w:lang w:val="sv-SE"/>
        </w:rPr>
        <w:t>menunjukkan</w:t>
      </w:r>
      <w:r w:rsidRPr="00423848">
        <w:rPr>
          <w:rFonts w:eastAsia="Segoe UI" w:cs="Segoe UI"/>
          <w:lang w:val="sv-SE"/>
        </w:rPr>
        <w:t xml:space="preserve"> bahwa perubahan kerangka hukum berlangsung cepat dan menuntut kesiapan penyusun laporan </w:t>
      </w:r>
      <w:r>
        <w:rPr>
          <w:rFonts w:eastAsia="Segoe UI" w:cs="Segoe UI"/>
          <w:lang w:val="sv-SE"/>
        </w:rPr>
        <w:fldChar w:fldCharType="begin" w:fldLock="1"/>
      </w:r>
      <w:r w:rsidR="00613ECE">
        <w:rPr>
          <w:rFonts w:eastAsia="Segoe UI" w:cs="Segoe UI"/>
          <w:lang w:val="sv-SE"/>
        </w:rPr>
        <w:instrText>ADDIN CSL_CITATION {"citationItems":[{"id":"ITEM-1","itemData":{"DOI":"10.1080/17449480.2024.2312145","ISSN":"1744-9480","author":[{"dropping-particle":"","family":"Hummel","given":"Katrin","non-dropping-particle":"","parse-names":false,"suffix":""},{"dropping-particle":"","family":"Jobst","given":"Dominik","non-dropping-particle":"","parse-names":false,"suffix":""}],"container-title":"Accounting in Europe","id":"ITEM-1","issue":"3","issued":{"date-parts":[["2024","9","1"]]},"note":"doi: 10.1080/17449480.2024.2312145","page":"320-355","publisher":"Routledge","title":"An Overview of Corporate Sustainability Reporting Legislation in the European Union","type":"article-journal","volume":"21"},"uris":["http://www.mendeley.com/documents/?uuid=00a3bd47-efd3-40de-b065-4cc097e0a609"]}],"mendeley":{"formattedCitation":"(Hummel &amp; Jobst, 2024)","plainTextFormattedCitation":"(Hummel &amp; Jobst, 2024)","previouslyFormattedCitation":"(Hummel &amp; Jobst, 2024)"},"properties":{"noteIndex":0},"schema":"https://github.com/citation-style-language/schema/raw/master/csl-citation.json"}</w:instrText>
      </w:r>
      <w:r>
        <w:rPr>
          <w:rFonts w:eastAsia="Segoe UI" w:cs="Segoe UI"/>
          <w:lang w:val="sv-SE"/>
        </w:rPr>
        <w:fldChar w:fldCharType="separate"/>
      </w:r>
      <w:r w:rsidRPr="008B5ED1">
        <w:rPr>
          <w:rFonts w:eastAsia="Segoe UI" w:cs="Segoe UI"/>
          <w:noProof/>
          <w:lang w:val="sv-SE"/>
        </w:rPr>
        <w:t>(Hummel &amp; Jobst, 2024)</w:t>
      </w:r>
      <w:r>
        <w:rPr>
          <w:rFonts w:eastAsia="Segoe UI" w:cs="Segoe UI"/>
          <w:lang w:val="sv-SE"/>
        </w:rPr>
        <w:fldChar w:fldCharType="end"/>
      </w:r>
      <w:r w:rsidRPr="00423848">
        <w:rPr>
          <w:rFonts w:eastAsia="Segoe UI" w:cs="Segoe UI"/>
          <w:lang w:val="sv-SE"/>
        </w:rPr>
        <w:t xml:space="preserve">. </w:t>
      </w:r>
      <w:r>
        <w:rPr>
          <w:rFonts w:eastAsia="Segoe UI" w:cs="Segoe UI"/>
          <w:lang w:val="sv-SE"/>
        </w:rPr>
        <w:t>Dalam</w:t>
      </w:r>
      <w:r w:rsidRPr="00423848">
        <w:rPr>
          <w:rFonts w:eastAsia="Segoe UI" w:cs="Segoe UI"/>
          <w:lang w:val="sv-SE"/>
        </w:rPr>
        <w:t xml:space="preserve"> konteks Indonesia, penguatan kerangka pelaporan yang tengah berlangsung perlu disertai perhatian pada aspek keperilakuan penyusunnya agar kepatuhan formal tidak berubah menjadi ritual administratif.</w:t>
      </w:r>
    </w:p>
    <w:p w14:paraId="1F956289" w14:textId="7B573E29" w:rsidR="008B5ED1" w:rsidRDefault="00613ECE" w:rsidP="00613ECE">
      <w:pPr>
        <w:spacing w:after="0" w:line="240" w:lineRule="auto"/>
        <w:ind w:left="567" w:firstLine="567"/>
        <w:rPr>
          <w:rFonts w:eastAsia="Segoe UI" w:cs="Segoe UI"/>
          <w:lang w:val="sv-SE"/>
        </w:rPr>
      </w:pPr>
      <w:r>
        <w:rPr>
          <w:rFonts w:eastAsia="Segoe UI" w:cs="Segoe UI"/>
          <w:lang w:val="sv-SE"/>
        </w:rPr>
        <w:t>Dalam</w:t>
      </w:r>
      <w:r w:rsidR="008B5ED1" w:rsidRPr="00423848">
        <w:rPr>
          <w:rFonts w:eastAsia="Segoe UI" w:cs="Segoe UI"/>
          <w:lang w:val="sv-SE"/>
        </w:rPr>
        <w:t xml:space="preserve"> pendidikan akuntansi, temuan ini menegaskan perlunya menempatkan etika bukan sebagai mata kuliah terpisah, melainkan sebagai kemampuan </w:t>
      </w:r>
      <w:r w:rsidR="008B5ED1">
        <w:rPr>
          <w:rFonts w:eastAsia="Segoe UI" w:cs="Segoe UI"/>
          <w:lang w:val="sv-SE"/>
        </w:rPr>
        <w:t xml:space="preserve">untuk </w:t>
      </w:r>
      <w:r w:rsidR="008B5ED1" w:rsidRPr="00423848">
        <w:rPr>
          <w:rFonts w:eastAsia="Segoe UI" w:cs="Segoe UI"/>
          <w:lang w:val="sv-SE"/>
        </w:rPr>
        <w:t xml:space="preserve">mengenali tekanan dan rasionalisasi dalam situasi kerja yang </w:t>
      </w:r>
      <w:r>
        <w:rPr>
          <w:rFonts w:eastAsia="Segoe UI" w:cs="Segoe UI"/>
          <w:lang w:val="sv-SE"/>
        </w:rPr>
        <w:t>sebenarnya</w:t>
      </w:r>
      <w:r w:rsidR="008B5ED1" w:rsidRPr="00423848">
        <w:rPr>
          <w:rFonts w:eastAsia="Segoe UI" w:cs="Segoe UI"/>
          <w:lang w:val="sv-SE"/>
        </w:rPr>
        <w:t>. Mahasiswa perlu dilatih membaca laporan secara kritis, membandingkan klaim dengan bukti, dan mengenali taktik kesan sebagaimana mereka dilatih menyusun jurnal dan menghitung rasio. Kemampuan inilah yang akan membedakan akuntan yang sekadar patuh dari akuntan yang benar-benar dapat dipercaya.</w:t>
      </w:r>
    </w:p>
    <w:p w14:paraId="46522D82" w14:textId="77777777" w:rsidR="00613ECE" w:rsidRDefault="00613ECE" w:rsidP="00613ECE">
      <w:pPr>
        <w:spacing w:after="0" w:line="240" w:lineRule="auto"/>
        <w:rPr>
          <w:rFonts w:eastAsia="Segoe UI" w:cs="Segoe UI"/>
          <w:lang w:val="sv-SE"/>
        </w:rPr>
      </w:pPr>
    </w:p>
    <w:p w14:paraId="07497745" w14:textId="77777777" w:rsidR="00613ECE" w:rsidRPr="00423848" w:rsidRDefault="00613ECE" w:rsidP="00613ECE">
      <w:pPr>
        <w:pStyle w:val="Heading2"/>
        <w:spacing w:before="0"/>
        <w:rPr>
          <w:lang w:val="sv-SE"/>
        </w:rPr>
      </w:pPr>
      <w:r w:rsidRPr="00423848">
        <w:rPr>
          <w:rFonts w:eastAsia="Segoe UI" w:cs="Segoe UI"/>
          <w:bCs/>
          <w:color w:val="000000"/>
          <w:sz w:val="22"/>
          <w:szCs w:val="22"/>
          <w:lang w:val="sv-SE"/>
        </w:rPr>
        <w:t>3.7 Keterbatasan dan Agenda Riset</w:t>
      </w:r>
    </w:p>
    <w:p w14:paraId="051796BA" w14:textId="6F2E970D" w:rsidR="00613ECE" w:rsidRPr="00423848" w:rsidRDefault="00613ECE" w:rsidP="00613ECE">
      <w:pPr>
        <w:spacing w:after="120" w:line="240" w:lineRule="auto"/>
        <w:ind w:left="567" w:firstLine="567"/>
        <w:rPr>
          <w:lang w:val="sv-SE"/>
        </w:rPr>
      </w:pPr>
      <w:r w:rsidRPr="00423848">
        <w:rPr>
          <w:rFonts w:eastAsia="Segoe UI" w:cs="Segoe UI"/>
          <w:lang w:val="sv-SE"/>
        </w:rPr>
        <w:t xml:space="preserve">Keterbatasan utama kajian ini bersifat melekat pada jenisnya. Sebagai artikel konseptual, kajian ini tidak menguji kerangka yang ditawarkan dengan data primer, sehingga proposisi yang dirumuskan masih berstatus dugaan teoretis. Pemilihan literatur dilakukan secara purposif dan bukan melalui penyaringan sistematis, sehingga </w:t>
      </w:r>
      <w:r>
        <w:rPr>
          <w:rFonts w:eastAsia="Segoe UI" w:cs="Segoe UI"/>
          <w:lang w:val="sv-SE"/>
        </w:rPr>
        <w:t>memungkinkan</w:t>
      </w:r>
      <w:r w:rsidRPr="00423848">
        <w:rPr>
          <w:rFonts w:eastAsia="Segoe UI" w:cs="Segoe UI"/>
          <w:lang w:val="sv-SE"/>
        </w:rPr>
        <w:t xml:space="preserve"> adanya sumber relevan yang belum tercakup. Selain itu, sebagian besar bukti empiris yang disintesis berasal dari konteks di luar Indonesia, sehingga keberlakuannya </w:t>
      </w:r>
      <w:r>
        <w:rPr>
          <w:rFonts w:eastAsia="Segoe UI" w:cs="Segoe UI"/>
          <w:lang w:val="sv-SE"/>
        </w:rPr>
        <w:t>dalam</w:t>
      </w:r>
      <w:r w:rsidRPr="00423848">
        <w:rPr>
          <w:rFonts w:eastAsia="Segoe UI" w:cs="Segoe UI"/>
          <w:lang w:val="sv-SE"/>
        </w:rPr>
        <w:t xml:space="preserve"> konteks lokal masih perlu diuji.</w:t>
      </w:r>
    </w:p>
    <w:p w14:paraId="34B4D1DB" w14:textId="1D5E6CAC" w:rsidR="001E0508" w:rsidRDefault="00613ECE" w:rsidP="00613ECE">
      <w:pPr>
        <w:spacing w:after="0" w:line="240" w:lineRule="auto"/>
        <w:ind w:left="567" w:firstLine="567"/>
        <w:rPr>
          <w:rFonts w:eastAsia="Segoe UI" w:cs="Segoe UI"/>
          <w:lang w:val="sv-SE"/>
        </w:rPr>
      </w:pPr>
      <w:r w:rsidRPr="00423848">
        <w:rPr>
          <w:rFonts w:eastAsia="Segoe UI" w:cs="Segoe UI"/>
          <w:lang w:val="sv-SE"/>
        </w:rPr>
        <w:t xml:space="preserve">Keterbatasan tersebut sekaligus menunjukkan arah penelitian </w:t>
      </w:r>
      <w:r>
        <w:rPr>
          <w:rFonts w:eastAsia="Segoe UI" w:cs="Segoe UI"/>
          <w:lang w:val="sv-SE"/>
        </w:rPr>
        <w:t>selanjutnya</w:t>
      </w:r>
      <w:r w:rsidRPr="00423848">
        <w:rPr>
          <w:rFonts w:eastAsia="Segoe UI" w:cs="Segoe UI"/>
          <w:lang w:val="sv-SE"/>
        </w:rPr>
        <w:t xml:space="preserve">. Pertama, pengujian proposisi pertama dan kedua </w:t>
      </w:r>
      <w:r>
        <w:rPr>
          <w:rFonts w:eastAsia="Segoe UI" w:cs="Segoe UI"/>
          <w:lang w:val="sv-SE"/>
        </w:rPr>
        <w:t xml:space="preserve">dilakukan </w:t>
      </w:r>
      <w:r w:rsidRPr="00423848">
        <w:rPr>
          <w:rFonts w:eastAsia="Segoe UI" w:cs="Segoe UI"/>
          <w:lang w:val="sv-SE"/>
        </w:rPr>
        <w:t xml:space="preserve">melalui analisis isi dan analisis tekstual atas laporan keberlanjutan perusahaan </w:t>
      </w:r>
      <w:r>
        <w:rPr>
          <w:rFonts w:eastAsia="Segoe UI" w:cs="Segoe UI"/>
          <w:lang w:val="sv-SE"/>
        </w:rPr>
        <w:t xml:space="preserve">yang </w:t>
      </w:r>
      <w:r w:rsidRPr="00423848">
        <w:rPr>
          <w:rFonts w:eastAsia="Segoe UI" w:cs="Segoe UI"/>
          <w:lang w:val="sv-SE"/>
        </w:rPr>
        <w:t xml:space="preserve">tercatat di Indonesia, dengan mengukur keseimbangan pemberitaan positif dan negatif, kewajaran penyajian grafik, serta keterbacaan dan kebakuan bahasa. Kedua, pengujian proposisi ketiga </w:t>
      </w:r>
      <w:r>
        <w:rPr>
          <w:rFonts w:eastAsia="Segoe UI" w:cs="Segoe UI"/>
          <w:lang w:val="sv-SE"/>
        </w:rPr>
        <w:t xml:space="preserve">dilakukan </w:t>
      </w:r>
      <w:r w:rsidRPr="00423848">
        <w:rPr>
          <w:rFonts w:eastAsia="Segoe UI" w:cs="Segoe UI"/>
          <w:lang w:val="sv-SE"/>
        </w:rPr>
        <w:t xml:space="preserve">melalui desain eksperimental yang memanipulasi tekanan atasan dan insentif kinerja untuk mengamati kecenderungan penyusun laporan memoles pengungkapan, karena rasionalisasi lebih tepat diuji secara eksperimental </w:t>
      </w:r>
      <w:r>
        <w:rPr>
          <w:rFonts w:eastAsia="Segoe UI" w:cs="Segoe UI"/>
          <w:lang w:val="sv-SE"/>
        </w:rPr>
        <w:t>dibandingkan</w:t>
      </w:r>
      <w:r w:rsidRPr="00423848">
        <w:rPr>
          <w:rFonts w:eastAsia="Segoe UI" w:cs="Segoe UI"/>
          <w:lang w:val="sv-SE"/>
        </w:rPr>
        <w:t xml:space="preserve"> melalui survei. Ketiga, pengujian proposisi keempat </w:t>
      </w:r>
      <w:r>
        <w:rPr>
          <w:rFonts w:eastAsia="Segoe UI" w:cs="Segoe UI"/>
          <w:lang w:val="sv-SE"/>
        </w:rPr>
        <w:t xml:space="preserve">dilakukan </w:t>
      </w:r>
      <w:r w:rsidRPr="00423848">
        <w:rPr>
          <w:rFonts w:eastAsia="Segoe UI" w:cs="Segoe UI"/>
          <w:lang w:val="sv-SE"/>
        </w:rPr>
        <w:t xml:space="preserve">dengan membandingkan laporan yang memperoleh asurans dan yang tidak, disertai penelaahan peran norma etika organisasi. Keempat, kajian mengenai peran kecerdasan buatan yang bersifat ganda, yakni sebagai alat deteksi pola bahasa yang mencurigakan sekaligus sebagai alat produksi narasi yang semakin sulit dibedakan dari </w:t>
      </w:r>
      <w:r>
        <w:rPr>
          <w:rFonts w:eastAsia="Segoe UI" w:cs="Segoe UI"/>
          <w:lang w:val="sv-SE"/>
        </w:rPr>
        <w:t>narasi</w:t>
      </w:r>
      <w:r w:rsidRPr="00423848">
        <w:rPr>
          <w:rFonts w:eastAsia="Segoe UI" w:cs="Segoe UI"/>
          <w:lang w:val="sv-SE"/>
        </w:rPr>
        <w:t xml:space="preserve"> autentik </w:t>
      </w:r>
      <w:r>
        <w:rPr>
          <w:rFonts w:eastAsia="Segoe UI" w:cs="Segoe UI"/>
          <w:lang w:val="sv-SE"/>
        </w:rPr>
        <w:fldChar w:fldCharType="begin" w:fldLock="1"/>
      </w:r>
      <w:r>
        <w:rPr>
          <w:rFonts w:eastAsia="Segoe UI" w:cs="Segoe UI"/>
          <w:lang w:val="sv-SE"/>
        </w:rPr>
        <w:instrText>ADDIN CSL_CITATION {"citationItems":[{"id":"ITEM-1","itemData":{"DOI":"10.3390/su15021481","ISBN":"2071-1050","abstract":"The rise of stakeholder interest globally in sustainable business practices has resulted in a rise in demands from stakeholders that companies report on the environmental and social impacts of their business activities. In certain cases, however, companies have resorted to the practice of providing inaccurate disclosures regarding sustainability as part of their corporate communications and sustainability reporting—commonly referred to as “greenwashing”. Concurrently, technological improvements in artificial intelligence have presented the means to rapidly and accurately analyze large volumes of text-based information, such as that contained in sustainability reports. Despite the possible impacts of artificial intelligence and machine learning on the fields of greenwashing and sustainability reporting, no literature to date has comprehensively and holistically addressed the interrelationship between these three important topics. This paper contributes to the body of knowledge by using bibliometric and thematic analyses to systematically analyze the interrelationship between those fields. The analysis is also used to conjecture a conceptual and thematic framework for the use of artificial intelligence with machine learning in relation to greenwashing and company sustainability reporting. This paper finds that the use of artificial intelligence in relation to greenwashing, and greenwashing within sustainability reporting, is an underexplored research field.","author":[{"dropping-particle":"","family":"Moodaley","given":"Wayne","non-dropping-particle":"","parse-names":false,"suffix":""},{"dropping-particle":"","family":"Telukdarie","given":"Arnesh","non-dropping-particle":"","parse-names":false,"suffix":""}],"container-title":"Sustainability","id":"ITEM-1","issue":"2","issued":{"date-parts":[["2023"]]},"page":"1481","title":"Greenwashing, Sustainability Reporting, and Artificial Intelligence: A Systematic Literature Review","type":"article","volume":"15"},"uris":["http://www.mendeley.com/documents/?uuid=884a9b91-737b-4e30-9068-efd1b1745f40"]}],"mendeley":{"formattedCitation":"(Moodaley &amp; Telukdarie, 2023)","plainTextFormattedCitation":"(Moodaley &amp; Telukdarie, 2023)","previouslyFormattedCitation":"(Moodaley &amp; Telukdarie, 2023)"},"properties":{"noteIndex":0},"schema":"https://github.com/citation-style-language/schema/raw/master/csl-citation.json"}</w:instrText>
      </w:r>
      <w:r>
        <w:rPr>
          <w:rFonts w:eastAsia="Segoe UI" w:cs="Segoe UI"/>
          <w:lang w:val="sv-SE"/>
        </w:rPr>
        <w:fldChar w:fldCharType="separate"/>
      </w:r>
      <w:r w:rsidRPr="00613ECE">
        <w:rPr>
          <w:rFonts w:eastAsia="Segoe UI" w:cs="Segoe UI"/>
          <w:noProof/>
          <w:lang w:val="sv-SE"/>
        </w:rPr>
        <w:t>(Moodaley &amp; Telukdarie, 2023)</w:t>
      </w:r>
      <w:r>
        <w:rPr>
          <w:rFonts w:eastAsia="Segoe UI" w:cs="Segoe UI"/>
          <w:lang w:val="sv-SE"/>
        </w:rPr>
        <w:fldChar w:fldCharType="end"/>
      </w:r>
      <w:r w:rsidRPr="00423848">
        <w:rPr>
          <w:rFonts w:eastAsia="Segoe UI" w:cs="Segoe UI"/>
          <w:lang w:val="sv-SE"/>
        </w:rPr>
        <w:t xml:space="preserve">. Keempat arah tersebut memperluas ranah akuntansi keperilakuan yang selama lima dekade terakhir terus berkembang secara konsisten </w:t>
      </w:r>
      <w:r>
        <w:rPr>
          <w:rFonts w:eastAsia="Segoe UI" w:cs="Segoe UI"/>
          <w:lang w:val="sv-SE"/>
        </w:rPr>
        <w:fldChar w:fldCharType="begin" w:fldLock="1"/>
      </w:r>
      <w:r>
        <w:rPr>
          <w:rFonts w:eastAsia="Segoe UI" w:cs="Segoe UI"/>
          <w:lang w:val="sv-SE"/>
        </w:rPr>
        <w:instrText>ADDIN CSL_CITATION {"citationItems":[{"id":"ITEM-1","itemData":{"DOI":"10.1108/ARJ-09-2023-0246","ISSN":"1030-9616","abstract":"The purpose of this study is to explore the quality of research work done in behavioral accounting through bibliometric analysis so that biases can be spotted and implications can be drawn.The most recent papers on a given topic – behavioral accounting in this study – are gathered, assessed and analyzed using a systematic literature review approach, which is a rigorous process. Books, scientific publications and conference papers were used to discover, compile and synthesize pertinent information (Garca, 2013; Snyder, 2019). In this study, the authors used an iterative cycle methodology, which entails selecting pertinent keywords, conducting a literature search in the database of choice and then conducting the analysis.Using bibliometric analysis, this study offers a fresh viewpoint on fundamental behavioral accounting concepts. The results suggest that important areas in the relevant behavioral accounting disciplines are changing, with important ramifications for academics and practitioners to better understand prospect theory and social identity theory.Researchers should parameterize their outputs to make it easier to synthesize the state of the art in behavioral accounting, which would advance the subject.The study has important policy implications because it shows that decision-makers are increasingly focused on creating ethical and open accounting practices, which are essential for building improved accounting practices in the Big Data era.It is elementary in and of itself to recognize that accounting data are an outcome and a consequence of human behavior. The study itself makes a case for the social ramifications of this kind of study.The study offers a comprehensive bibliometric analysis of behavioral accounting research sourced from the Scopus database. It presents a curated collection of leading works in the domain, categorized by articles, authors, publications, institutions and nations. This examination provides a current snapshot of advancements in behavioral accounting and can be perceived as an evolution of previous literature reviews that relied on traditional approaches. Notably, this is the inaugural study using solely bibliometric techniques.","author":[{"dropping-particle":"","family":"Chauhan","given":"Abhay Singh","non-dropping-particle":"","parse-names":false,"suffix":""},{"dropping-particle":"","family":"Sikarwar","given":"Tarika Singh","non-dropping-particle":"","parse-names":false,"suffix":""},{"dropping-particle":"","family":"Raj","given":"Manisha","non-dropping-particle":"","parse-names":false,"suffix":""}],"container-title":"Accounting Research Journal","id":"ITEM-1","issue":"6","issued":{"date-parts":[["2024","11","7"]]},"page":"595-614","title":"Trends and patterns in behavioral accounting research: 53 years of bibliometric analysis","type":"article-journal","volume":"37"},"uris":["http://www.mendeley.com/documents/?uuid=fc9afcc7-e982-47b1-b96e-6ce02af2a6f3"]}],"mendeley":{"formattedCitation":"(Chauhan et al., 2024)","plainTextFormattedCitation":"(Chauhan et al., 2024)"},"properties":{"noteIndex":0},"schema":"https://github.com/citation-style-language/schema/raw/master/csl-citation.json"}</w:instrText>
      </w:r>
      <w:r>
        <w:rPr>
          <w:rFonts w:eastAsia="Segoe UI" w:cs="Segoe UI"/>
          <w:lang w:val="sv-SE"/>
        </w:rPr>
        <w:fldChar w:fldCharType="separate"/>
      </w:r>
      <w:r w:rsidRPr="00613ECE">
        <w:rPr>
          <w:rFonts w:eastAsia="Segoe UI" w:cs="Segoe UI"/>
          <w:noProof/>
          <w:lang w:val="sv-SE"/>
        </w:rPr>
        <w:t xml:space="preserve">(Chauhan </w:t>
      </w:r>
      <w:r w:rsidRPr="00613ECE">
        <w:rPr>
          <w:rFonts w:eastAsia="Segoe UI" w:cs="Segoe UI"/>
          <w:i/>
          <w:iCs/>
          <w:noProof/>
          <w:lang w:val="sv-SE"/>
        </w:rPr>
        <w:t>et al</w:t>
      </w:r>
      <w:r w:rsidRPr="00613ECE">
        <w:rPr>
          <w:rFonts w:eastAsia="Segoe UI" w:cs="Segoe UI"/>
          <w:noProof/>
          <w:lang w:val="sv-SE"/>
        </w:rPr>
        <w:t>., 2024)</w:t>
      </w:r>
      <w:r>
        <w:rPr>
          <w:rFonts w:eastAsia="Segoe UI" w:cs="Segoe UI"/>
          <w:lang w:val="sv-SE"/>
        </w:rPr>
        <w:fldChar w:fldCharType="end"/>
      </w:r>
      <w:r w:rsidRPr="00423848">
        <w:rPr>
          <w:rFonts w:eastAsia="Segoe UI" w:cs="Segoe UI"/>
          <w:lang w:val="sv-SE"/>
        </w:rPr>
        <w:t>.</w:t>
      </w:r>
    </w:p>
    <w:p w14:paraId="1EE790E9" w14:textId="77777777" w:rsidR="00613ECE" w:rsidRPr="00613ECE" w:rsidRDefault="00613ECE" w:rsidP="00613ECE">
      <w:pPr>
        <w:spacing w:after="0" w:line="240" w:lineRule="auto"/>
        <w:ind w:left="567" w:firstLine="567"/>
        <w:rPr>
          <w:lang w:val="sv-SE"/>
        </w:rPr>
      </w:pPr>
    </w:p>
    <w:p w14:paraId="17E3A12B" w14:textId="5E31EBBF" w:rsidR="001E0508" w:rsidRPr="00EA7E75" w:rsidRDefault="00985560" w:rsidP="00C762C3">
      <w:pPr>
        <w:pStyle w:val="Heading3"/>
        <w:spacing w:before="0"/>
        <w:ind w:left="993" w:hanging="426"/>
      </w:pPr>
      <w:r w:rsidRPr="00EA7E75">
        <w:t>KESIMPULAN</w:t>
      </w:r>
    </w:p>
    <w:p w14:paraId="446D171A" w14:textId="5F8229BE" w:rsidR="00613ECE" w:rsidRPr="00423848" w:rsidRDefault="00613ECE" w:rsidP="00C762C3">
      <w:pPr>
        <w:spacing w:after="120" w:line="240" w:lineRule="auto"/>
        <w:ind w:left="567" w:firstLine="567"/>
        <w:rPr>
          <w:lang w:val="sv-SE"/>
        </w:rPr>
      </w:pPr>
      <w:r w:rsidRPr="00613ECE">
        <w:rPr>
          <w:rFonts w:eastAsia="Segoe UI" w:cs="Segoe UI"/>
          <w:lang w:val="en-AU"/>
        </w:rPr>
        <w:t xml:space="preserve">Kajian </w:t>
      </w:r>
      <w:proofErr w:type="spellStart"/>
      <w:r w:rsidRPr="00613ECE">
        <w:rPr>
          <w:rFonts w:eastAsia="Segoe UI" w:cs="Segoe UI"/>
          <w:lang w:val="en-AU"/>
        </w:rPr>
        <w:t>ini</w:t>
      </w:r>
      <w:proofErr w:type="spellEnd"/>
      <w:r w:rsidRPr="00613ECE">
        <w:rPr>
          <w:rFonts w:eastAsia="Segoe UI" w:cs="Segoe UI"/>
          <w:lang w:val="en-AU"/>
        </w:rPr>
        <w:t xml:space="preserve"> </w:t>
      </w:r>
      <w:proofErr w:type="spellStart"/>
      <w:r w:rsidRPr="00613ECE">
        <w:rPr>
          <w:rFonts w:eastAsia="Segoe UI" w:cs="Segoe UI"/>
          <w:lang w:val="en-AU"/>
        </w:rPr>
        <w:t>menyimpulkan</w:t>
      </w:r>
      <w:proofErr w:type="spellEnd"/>
      <w:r w:rsidRPr="00613ECE">
        <w:rPr>
          <w:rFonts w:eastAsia="Segoe UI" w:cs="Segoe UI"/>
          <w:lang w:val="en-AU"/>
        </w:rPr>
        <w:t xml:space="preserve"> </w:t>
      </w:r>
      <w:proofErr w:type="spellStart"/>
      <w:r w:rsidRPr="00613ECE">
        <w:rPr>
          <w:rFonts w:eastAsia="Segoe UI" w:cs="Segoe UI"/>
          <w:lang w:val="en-AU"/>
        </w:rPr>
        <w:t>bahwa</w:t>
      </w:r>
      <w:proofErr w:type="spellEnd"/>
      <w:r w:rsidRPr="00613ECE">
        <w:rPr>
          <w:rFonts w:eastAsia="Segoe UI" w:cs="Segoe UI"/>
          <w:lang w:val="en-AU"/>
        </w:rPr>
        <w:t xml:space="preserve"> </w:t>
      </w:r>
      <w:r w:rsidRPr="00613ECE">
        <w:rPr>
          <w:rFonts w:eastAsia="Segoe UI" w:cs="Segoe UI"/>
          <w:i/>
          <w:iCs/>
          <w:lang w:val="en-AU"/>
        </w:rPr>
        <w:t>greenwashing</w:t>
      </w:r>
      <w:r w:rsidRPr="00613ECE">
        <w:rPr>
          <w:rFonts w:eastAsia="Segoe UI" w:cs="Segoe UI"/>
          <w:lang w:val="en-AU"/>
        </w:rPr>
        <w:t xml:space="preserve"> </w:t>
      </w:r>
      <w:proofErr w:type="spellStart"/>
      <w:r w:rsidRPr="00613ECE">
        <w:rPr>
          <w:rFonts w:eastAsia="Segoe UI" w:cs="Segoe UI"/>
          <w:lang w:val="en-AU"/>
        </w:rPr>
        <w:t>dalam</w:t>
      </w:r>
      <w:proofErr w:type="spellEnd"/>
      <w:r w:rsidRPr="00613ECE">
        <w:rPr>
          <w:rFonts w:eastAsia="Segoe UI" w:cs="Segoe UI"/>
          <w:lang w:val="en-AU"/>
        </w:rPr>
        <w:t xml:space="preserve"> </w:t>
      </w:r>
      <w:proofErr w:type="spellStart"/>
      <w:r w:rsidRPr="00613ECE">
        <w:rPr>
          <w:rFonts w:eastAsia="Segoe UI" w:cs="Segoe UI"/>
          <w:lang w:val="en-AU"/>
        </w:rPr>
        <w:t>pelaporan</w:t>
      </w:r>
      <w:proofErr w:type="spellEnd"/>
      <w:r w:rsidRPr="00613ECE">
        <w:rPr>
          <w:rFonts w:eastAsia="Segoe UI" w:cs="Segoe UI"/>
          <w:lang w:val="en-AU"/>
        </w:rPr>
        <w:t xml:space="preserve"> </w:t>
      </w:r>
      <w:proofErr w:type="spellStart"/>
      <w:r w:rsidRPr="00613ECE">
        <w:rPr>
          <w:rFonts w:eastAsia="Segoe UI" w:cs="Segoe UI"/>
          <w:lang w:val="en-AU"/>
        </w:rPr>
        <w:t>keberlanjutan</w:t>
      </w:r>
      <w:proofErr w:type="spellEnd"/>
      <w:r w:rsidRPr="00613ECE">
        <w:rPr>
          <w:rFonts w:eastAsia="Segoe UI" w:cs="Segoe UI"/>
          <w:lang w:val="en-AU"/>
        </w:rPr>
        <w:t xml:space="preserve"> </w:t>
      </w:r>
      <w:proofErr w:type="spellStart"/>
      <w:r w:rsidRPr="00613ECE">
        <w:rPr>
          <w:rFonts w:eastAsia="Segoe UI" w:cs="Segoe UI"/>
          <w:lang w:val="en-AU"/>
        </w:rPr>
        <w:t>lebih</w:t>
      </w:r>
      <w:proofErr w:type="spellEnd"/>
      <w:r w:rsidRPr="00613ECE">
        <w:rPr>
          <w:rFonts w:eastAsia="Segoe UI" w:cs="Segoe UI"/>
          <w:lang w:val="en-AU"/>
        </w:rPr>
        <w:t xml:space="preserve"> </w:t>
      </w:r>
      <w:proofErr w:type="spellStart"/>
      <w:r w:rsidRPr="00613ECE">
        <w:rPr>
          <w:rFonts w:eastAsia="Segoe UI" w:cs="Segoe UI"/>
          <w:lang w:val="en-AU"/>
        </w:rPr>
        <w:t>tepat</w:t>
      </w:r>
      <w:proofErr w:type="spellEnd"/>
      <w:r w:rsidRPr="00613ECE">
        <w:rPr>
          <w:rFonts w:eastAsia="Segoe UI" w:cs="Segoe UI"/>
          <w:lang w:val="en-AU"/>
        </w:rPr>
        <w:t xml:space="preserve"> </w:t>
      </w:r>
      <w:proofErr w:type="spellStart"/>
      <w:r w:rsidRPr="00613ECE">
        <w:rPr>
          <w:rFonts w:eastAsia="Segoe UI" w:cs="Segoe UI"/>
          <w:lang w:val="en-AU"/>
        </w:rPr>
        <w:t>dipahami</w:t>
      </w:r>
      <w:proofErr w:type="spellEnd"/>
      <w:r w:rsidRPr="00613ECE">
        <w:rPr>
          <w:rFonts w:eastAsia="Segoe UI" w:cs="Segoe UI"/>
          <w:lang w:val="en-AU"/>
        </w:rPr>
        <w:t xml:space="preserve"> </w:t>
      </w:r>
      <w:proofErr w:type="spellStart"/>
      <w:r w:rsidRPr="00613ECE">
        <w:rPr>
          <w:rFonts w:eastAsia="Segoe UI" w:cs="Segoe UI"/>
          <w:lang w:val="en-AU"/>
        </w:rPr>
        <w:t>sebagai</w:t>
      </w:r>
      <w:proofErr w:type="spellEnd"/>
      <w:r w:rsidRPr="00613ECE">
        <w:rPr>
          <w:rFonts w:eastAsia="Segoe UI" w:cs="Segoe UI"/>
          <w:lang w:val="en-AU"/>
        </w:rPr>
        <w:t xml:space="preserve"> </w:t>
      </w:r>
      <w:proofErr w:type="spellStart"/>
      <w:r w:rsidRPr="00613ECE">
        <w:rPr>
          <w:rFonts w:eastAsia="Segoe UI" w:cs="Segoe UI"/>
          <w:lang w:val="en-AU"/>
        </w:rPr>
        <w:t>fenomena</w:t>
      </w:r>
      <w:proofErr w:type="spellEnd"/>
      <w:r w:rsidRPr="00613ECE">
        <w:rPr>
          <w:rFonts w:eastAsia="Segoe UI" w:cs="Segoe UI"/>
          <w:lang w:val="en-AU"/>
        </w:rPr>
        <w:t xml:space="preserve"> </w:t>
      </w:r>
      <w:proofErr w:type="spellStart"/>
      <w:r>
        <w:rPr>
          <w:rFonts w:eastAsia="Segoe UI" w:cs="Segoe UI"/>
          <w:lang w:val="en-AU"/>
        </w:rPr>
        <w:t>perilaku</w:t>
      </w:r>
      <w:proofErr w:type="spellEnd"/>
      <w:r>
        <w:rPr>
          <w:rFonts w:eastAsia="Segoe UI" w:cs="Segoe UI"/>
          <w:lang w:val="en-AU"/>
        </w:rPr>
        <w:t xml:space="preserve"> </w:t>
      </w:r>
      <w:proofErr w:type="spellStart"/>
      <w:r>
        <w:rPr>
          <w:rFonts w:eastAsia="Segoe UI" w:cs="Segoe UI"/>
          <w:lang w:val="en-AU"/>
        </w:rPr>
        <w:t>daripada</w:t>
      </w:r>
      <w:proofErr w:type="spellEnd"/>
      <w:r>
        <w:rPr>
          <w:rFonts w:eastAsia="Segoe UI" w:cs="Segoe UI"/>
          <w:lang w:val="en-AU"/>
        </w:rPr>
        <w:t xml:space="preserve"> </w:t>
      </w:r>
      <w:proofErr w:type="spellStart"/>
      <w:r>
        <w:rPr>
          <w:rFonts w:eastAsia="Segoe UI" w:cs="Segoe UI"/>
          <w:lang w:val="en-AU"/>
        </w:rPr>
        <w:t>sekadar</w:t>
      </w:r>
      <w:proofErr w:type="spellEnd"/>
      <w:r>
        <w:rPr>
          <w:rFonts w:eastAsia="Segoe UI" w:cs="Segoe UI"/>
          <w:lang w:val="en-AU"/>
        </w:rPr>
        <w:t xml:space="preserve"> </w:t>
      </w:r>
      <w:proofErr w:type="spellStart"/>
      <w:r>
        <w:rPr>
          <w:rFonts w:eastAsia="Segoe UI" w:cs="Segoe UI"/>
          <w:lang w:val="en-AU"/>
        </w:rPr>
        <w:t>kegagalan</w:t>
      </w:r>
      <w:proofErr w:type="spellEnd"/>
      <w:r>
        <w:rPr>
          <w:rFonts w:eastAsia="Segoe UI" w:cs="Segoe UI"/>
          <w:lang w:val="en-AU"/>
        </w:rPr>
        <w:t xml:space="preserve"> </w:t>
      </w:r>
      <w:proofErr w:type="spellStart"/>
      <w:r>
        <w:rPr>
          <w:rFonts w:eastAsia="Segoe UI" w:cs="Segoe UI"/>
          <w:lang w:val="en-AU"/>
        </w:rPr>
        <w:t>teknis</w:t>
      </w:r>
      <w:proofErr w:type="spellEnd"/>
      <w:r>
        <w:rPr>
          <w:rFonts w:eastAsia="Segoe UI" w:cs="Segoe UI"/>
          <w:lang w:val="en-AU"/>
        </w:rPr>
        <w:t xml:space="preserve"> </w:t>
      </w:r>
      <w:proofErr w:type="spellStart"/>
      <w:r>
        <w:rPr>
          <w:rFonts w:eastAsia="Segoe UI" w:cs="Segoe UI"/>
          <w:lang w:val="en-AU"/>
        </w:rPr>
        <w:t>dalam</w:t>
      </w:r>
      <w:proofErr w:type="spellEnd"/>
      <w:r w:rsidRPr="00613ECE">
        <w:rPr>
          <w:rFonts w:eastAsia="Segoe UI" w:cs="Segoe UI"/>
          <w:lang w:val="en-AU"/>
        </w:rPr>
        <w:t xml:space="preserve"> </w:t>
      </w:r>
      <w:proofErr w:type="spellStart"/>
      <w:r w:rsidRPr="00613ECE">
        <w:rPr>
          <w:rFonts w:eastAsia="Segoe UI" w:cs="Segoe UI"/>
          <w:lang w:val="en-AU"/>
        </w:rPr>
        <w:t>pengungkapan</w:t>
      </w:r>
      <w:proofErr w:type="spellEnd"/>
      <w:r w:rsidRPr="00613ECE">
        <w:rPr>
          <w:rFonts w:eastAsia="Segoe UI" w:cs="Segoe UI"/>
          <w:lang w:val="en-AU"/>
        </w:rPr>
        <w:t xml:space="preserve">. </w:t>
      </w:r>
      <w:proofErr w:type="spellStart"/>
      <w:r w:rsidRPr="00613ECE">
        <w:rPr>
          <w:rFonts w:eastAsia="Segoe UI" w:cs="Segoe UI"/>
          <w:lang w:val="en-AU"/>
        </w:rPr>
        <w:lastRenderedPageBreak/>
        <w:t>Praktik</w:t>
      </w:r>
      <w:proofErr w:type="spellEnd"/>
      <w:r w:rsidRPr="00613ECE">
        <w:rPr>
          <w:rFonts w:eastAsia="Segoe UI" w:cs="Segoe UI"/>
          <w:lang w:val="en-AU"/>
        </w:rPr>
        <w:t xml:space="preserve"> </w:t>
      </w:r>
      <w:proofErr w:type="spellStart"/>
      <w:r w:rsidRPr="00613ECE">
        <w:rPr>
          <w:rFonts w:eastAsia="Segoe UI" w:cs="Segoe UI"/>
          <w:lang w:val="en-AU"/>
        </w:rPr>
        <w:t>tersebut</w:t>
      </w:r>
      <w:proofErr w:type="spellEnd"/>
      <w:r w:rsidRPr="00613ECE">
        <w:rPr>
          <w:rFonts w:eastAsia="Segoe UI" w:cs="Segoe UI"/>
          <w:lang w:val="en-AU"/>
        </w:rPr>
        <w:t xml:space="preserve"> </w:t>
      </w:r>
      <w:proofErr w:type="spellStart"/>
      <w:r w:rsidRPr="00613ECE">
        <w:rPr>
          <w:rFonts w:eastAsia="Segoe UI" w:cs="Segoe UI"/>
          <w:lang w:val="en-AU"/>
        </w:rPr>
        <w:t>memiliki</w:t>
      </w:r>
      <w:proofErr w:type="spellEnd"/>
      <w:r w:rsidRPr="00613ECE">
        <w:rPr>
          <w:rFonts w:eastAsia="Segoe UI" w:cs="Segoe UI"/>
          <w:lang w:val="en-AU"/>
        </w:rPr>
        <w:t xml:space="preserve"> </w:t>
      </w:r>
      <w:proofErr w:type="spellStart"/>
      <w:r w:rsidRPr="00613ECE">
        <w:rPr>
          <w:rFonts w:eastAsia="Segoe UI" w:cs="Segoe UI"/>
          <w:lang w:val="en-AU"/>
        </w:rPr>
        <w:t>kemiripan</w:t>
      </w:r>
      <w:proofErr w:type="spellEnd"/>
      <w:r w:rsidRPr="00613ECE">
        <w:rPr>
          <w:rFonts w:eastAsia="Segoe UI" w:cs="Segoe UI"/>
          <w:lang w:val="en-AU"/>
        </w:rPr>
        <w:t xml:space="preserve"> </w:t>
      </w:r>
      <w:proofErr w:type="spellStart"/>
      <w:r w:rsidRPr="00613ECE">
        <w:rPr>
          <w:rFonts w:eastAsia="Segoe UI" w:cs="Segoe UI"/>
          <w:lang w:val="en-AU"/>
        </w:rPr>
        <w:t>struktural</w:t>
      </w:r>
      <w:proofErr w:type="spellEnd"/>
      <w:r w:rsidRPr="00613ECE">
        <w:rPr>
          <w:rFonts w:eastAsia="Segoe UI" w:cs="Segoe UI"/>
          <w:lang w:val="en-AU"/>
        </w:rPr>
        <w:t xml:space="preserve"> </w:t>
      </w:r>
      <w:proofErr w:type="spellStart"/>
      <w:r w:rsidRPr="00613ECE">
        <w:rPr>
          <w:rFonts w:eastAsia="Segoe UI" w:cs="Segoe UI"/>
          <w:lang w:val="en-AU"/>
        </w:rPr>
        <w:t>dengan</w:t>
      </w:r>
      <w:proofErr w:type="spellEnd"/>
      <w:r w:rsidRPr="00613ECE">
        <w:rPr>
          <w:rFonts w:eastAsia="Segoe UI" w:cs="Segoe UI"/>
          <w:lang w:val="en-AU"/>
        </w:rPr>
        <w:t xml:space="preserve"> </w:t>
      </w:r>
      <w:proofErr w:type="spellStart"/>
      <w:r w:rsidRPr="00613ECE">
        <w:rPr>
          <w:rFonts w:eastAsia="Segoe UI" w:cs="Segoe UI"/>
          <w:lang w:val="en-AU"/>
        </w:rPr>
        <w:t>kecurangan</w:t>
      </w:r>
      <w:proofErr w:type="spellEnd"/>
      <w:r w:rsidRPr="00613ECE">
        <w:rPr>
          <w:rFonts w:eastAsia="Segoe UI" w:cs="Segoe UI"/>
          <w:lang w:val="en-AU"/>
        </w:rPr>
        <w:t xml:space="preserve"> dan </w:t>
      </w:r>
      <w:proofErr w:type="spellStart"/>
      <w:r w:rsidRPr="00613ECE">
        <w:rPr>
          <w:rFonts w:eastAsia="Segoe UI" w:cs="Segoe UI"/>
          <w:lang w:val="en-AU"/>
        </w:rPr>
        <w:t>digerakkan</w:t>
      </w:r>
      <w:proofErr w:type="spellEnd"/>
      <w:r w:rsidRPr="00613ECE">
        <w:rPr>
          <w:rFonts w:eastAsia="Segoe UI" w:cs="Segoe UI"/>
          <w:lang w:val="en-AU"/>
        </w:rPr>
        <w:t xml:space="preserve"> oleh </w:t>
      </w:r>
      <w:proofErr w:type="spellStart"/>
      <w:r w:rsidRPr="00613ECE">
        <w:rPr>
          <w:rFonts w:eastAsia="Segoe UI" w:cs="Segoe UI"/>
          <w:lang w:val="en-AU"/>
        </w:rPr>
        <w:t>tiga</w:t>
      </w:r>
      <w:proofErr w:type="spellEnd"/>
      <w:r w:rsidRPr="00613ECE">
        <w:rPr>
          <w:rFonts w:eastAsia="Segoe UI" w:cs="Segoe UI"/>
          <w:lang w:val="en-AU"/>
        </w:rPr>
        <w:t xml:space="preserve"> </w:t>
      </w:r>
      <w:proofErr w:type="spellStart"/>
      <w:r w:rsidRPr="00613ECE">
        <w:rPr>
          <w:rFonts w:eastAsia="Segoe UI" w:cs="Segoe UI"/>
          <w:lang w:val="en-AU"/>
        </w:rPr>
        <w:t>unsur</w:t>
      </w:r>
      <w:proofErr w:type="spellEnd"/>
      <w:r w:rsidRPr="00613ECE">
        <w:rPr>
          <w:rFonts w:eastAsia="Segoe UI" w:cs="Segoe UI"/>
          <w:lang w:val="en-AU"/>
        </w:rPr>
        <w:t xml:space="preserve"> yang </w:t>
      </w:r>
      <w:proofErr w:type="spellStart"/>
      <w:r w:rsidRPr="00613ECE">
        <w:rPr>
          <w:rFonts w:eastAsia="Segoe UI" w:cs="Segoe UI"/>
          <w:lang w:val="en-AU"/>
        </w:rPr>
        <w:t>saling</w:t>
      </w:r>
      <w:proofErr w:type="spellEnd"/>
      <w:r w:rsidRPr="00613ECE">
        <w:rPr>
          <w:rFonts w:eastAsia="Segoe UI" w:cs="Segoe UI"/>
          <w:lang w:val="en-AU"/>
        </w:rPr>
        <w:t xml:space="preserve"> </w:t>
      </w:r>
      <w:proofErr w:type="spellStart"/>
      <w:r w:rsidRPr="00613ECE">
        <w:rPr>
          <w:rFonts w:eastAsia="Segoe UI" w:cs="Segoe UI"/>
          <w:lang w:val="en-AU"/>
        </w:rPr>
        <w:t>menopang</w:t>
      </w:r>
      <w:proofErr w:type="spellEnd"/>
      <w:r w:rsidRPr="00613ECE">
        <w:rPr>
          <w:rFonts w:eastAsia="Segoe UI" w:cs="Segoe UI"/>
          <w:lang w:val="en-AU"/>
        </w:rPr>
        <w:t xml:space="preserve">, </w:t>
      </w:r>
      <w:proofErr w:type="spellStart"/>
      <w:r w:rsidRPr="00613ECE">
        <w:rPr>
          <w:rFonts w:eastAsia="Segoe UI" w:cs="Segoe UI"/>
          <w:lang w:val="en-AU"/>
        </w:rPr>
        <w:t>yaitu</w:t>
      </w:r>
      <w:proofErr w:type="spellEnd"/>
      <w:r w:rsidRPr="00613ECE">
        <w:rPr>
          <w:rFonts w:eastAsia="Segoe UI" w:cs="Segoe UI"/>
          <w:lang w:val="en-AU"/>
        </w:rPr>
        <w:t xml:space="preserve"> </w:t>
      </w:r>
      <w:proofErr w:type="spellStart"/>
      <w:r w:rsidRPr="00613ECE">
        <w:rPr>
          <w:rFonts w:eastAsia="Segoe UI" w:cs="Segoe UI"/>
          <w:lang w:val="en-AU"/>
        </w:rPr>
        <w:t>tekanan</w:t>
      </w:r>
      <w:proofErr w:type="spellEnd"/>
      <w:r w:rsidRPr="00613ECE">
        <w:rPr>
          <w:rFonts w:eastAsia="Segoe UI" w:cs="Segoe UI"/>
          <w:lang w:val="en-AU"/>
        </w:rPr>
        <w:t xml:space="preserve"> </w:t>
      </w:r>
      <w:proofErr w:type="spellStart"/>
      <w:r w:rsidRPr="00613ECE">
        <w:rPr>
          <w:rFonts w:eastAsia="Segoe UI" w:cs="Segoe UI"/>
          <w:lang w:val="en-AU"/>
        </w:rPr>
        <w:t>legitimasi</w:t>
      </w:r>
      <w:proofErr w:type="spellEnd"/>
      <w:r w:rsidRPr="00613ECE">
        <w:rPr>
          <w:rFonts w:eastAsia="Segoe UI" w:cs="Segoe UI"/>
          <w:lang w:val="en-AU"/>
        </w:rPr>
        <w:t xml:space="preserve"> yang </w:t>
      </w:r>
      <w:proofErr w:type="spellStart"/>
      <w:r w:rsidRPr="00613ECE">
        <w:rPr>
          <w:rFonts w:eastAsia="Segoe UI" w:cs="Segoe UI"/>
          <w:lang w:val="en-AU"/>
        </w:rPr>
        <w:t>menuntut</w:t>
      </w:r>
      <w:proofErr w:type="spellEnd"/>
      <w:r w:rsidRPr="00613ECE">
        <w:rPr>
          <w:rFonts w:eastAsia="Segoe UI" w:cs="Segoe UI"/>
          <w:lang w:val="en-AU"/>
        </w:rPr>
        <w:t xml:space="preserve"> </w:t>
      </w:r>
      <w:proofErr w:type="spellStart"/>
      <w:r w:rsidRPr="00613ECE">
        <w:rPr>
          <w:rFonts w:eastAsia="Segoe UI" w:cs="Segoe UI"/>
          <w:lang w:val="en-AU"/>
        </w:rPr>
        <w:t>citra</w:t>
      </w:r>
      <w:proofErr w:type="spellEnd"/>
      <w:r w:rsidRPr="00613ECE">
        <w:rPr>
          <w:rFonts w:eastAsia="Segoe UI" w:cs="Segoe UI"/>
          <w:lang w:val="en-AU"/>
        </w:rPr>
        <w:t xml:space="preserve"> </w:t>
      </w:r>
      <w:proofErr w:type="spellStart"/>
      <w:r w:rsidRPr="00613ECE">
        <w:rPr>
          <w:rFonts w:eastAsia="Segoe UI" w:cs="Segoe UI"/>
          <w:lang w:val="en-AU"/>
        </w:rPr>
        <w:t>melampaui</w:t>
      </w:r>
      <w:proofErr w:type="spellEnd"/>
      <w:r w:rsidRPr="00613ECE">
        <w:rPr>
          <w:rFonts w:eastAsia="Segoe UI" w:cs="Segoe UI"/>
          <w:lang w:val="en-AU"/>
        </w:rPr>
        <w:t xml:space="preserve"> </w:t>
      </w:r>
      <w:proofErr w:type="spellStart"/>
      <w:r w:rsidRPr="00613ECE">
        <w:rPr>
          <w:rFonts w:eastAsia="Segoe UI" w:cs="Segoe UI"/>
          <w:lang w:val="en-AU"/>
        </w:rPr>
        <w:t>kinerja</w:t>
      </w:r>
      <w:proofErr w:type="spellEnd"/>
      <w:r w:rsidRPr="00613ECE">
        <w:rPr>
          <w:rFonts w:eastAsia="Segoe UI" w:cs="Segoe UI"/>
          <w:lang w:val="en-AU"/>
        </w:rPr>
        <w:t xml:space="preserve">, </w:t>
      </w:r>
      <w:proofErr w:type="spellStart"/>
      <w:r w:rsidRPr="00613ECE">
        <w:rPr>
          <w:rFonts w:eastAsia="Segoe UI" w:cs="Segoe UI"/>
          <w:lang w:val="en-AU"/>
        </w:rPr>
        <w:t>peluang</w:t>
      </w:r>
      <w:proofErr w:type="spellEnd"/>
      <w:r w:rsidRPr="00613ECE">
        <w:rPr>
          <w:rFonts w:eastAsia="Segoe UI" w:cs="Segoe UI"/>
          <w:lang w:val="en-AU"/>
        </w:rPr>
        <w:t xml:space="preserve"> yang </w:t>
      </w:r>
      <w:proofErr w:type="spellStart"/>
      <w:r w:rsidRPr="00613ECE">
        <w:rPr>
          <w:rFonts w:eastAsia="Segoe UI" w:cs="Segoe UI"/>
          <w:lang w:val="en-AU"/>
        </w:rPr>
        <w:t>terbuka</w:t>
      </w:r>
      <w:proofErr w:type="spellEnd"/>
      <w:r w:rsidRPr="00613ECE">
        <w:rPr>
          <w:rFonts w:eastAsia="Segoe UI" w:cs="Segoe UI"/>
          <w:lang w:val="en-AU"/>
        </w:rPr>
        <w:t xml:space="preserve"> </w:t>
      </w:r>
      <w:proofErr w:type="spellStart"/>
      <w:r w:rsidRPr="00613ECE">
        <w:rPr>
          <w:rFonts w:eastAsia="Segoe UI" w:cs="Segoe UI"/>
          <w:lang w:val="en-AU"/>
        </w:rPr>
        <w:t>lebar</w:t>
      </w:r>
      <w:proofErr w:type="spellEnd"/>
      <w:r w:rsidRPr="00613ECE">
        <w:rPr>
          <w:rFonts w:eastAsia="Segoe UI" w:cs="Segoe UI"/>
          <w:lang w:val="en-AU"/>
        </w:rPr>
        <w:t xml:space="preserve"> </w:t>
      </w:r>
      <w:proofErr w:type="spellStart"/>
      <w:r w:rsidRPr="00613ECE">
        <w:rPr>
          <w:rFonts w:eastAsia="Segoe UI" w:cs="Segoe UI"/>
          <w:lang w:val="en-AU"/>
        </w:rPr>
        <w:t>akibat</w:t>
      </w:r>
      <w:proofErr w:type="spellEnd"/>
      <w:r w:rsidRPr="00613ECE">
        <w:rPr>
          <w:rFonts w:eastAsia="Segoe UI" w:cs="Segoe UI"/>
          <w:lang w:val="en-AU"/>
        </w:rPr>
        <w:t xml:space="preserve"> </w:t>
      </w:r>
      <w:proofErr w:type="spellStart"/>
      <w:r w:rsidRPr="00613ECE">
        <w:rPr>
          <w:rFonts w:eastAsia="Segoe UI" w:cs="Segoe UI"/>
          <w:lang w:val="en-AU"/>
        </w:rPr>
        <w:t>sifat</w:t>
      </w:r>
      <w:proofErr w:type="spellEnd"/>
      <w:r w:rsidRPr="00613ECE">
        <w:rPr>
          <w:rFonts w:eastAsia="Segoe UI" w:cs="Segoe UI"/>
          <w:lang w:val="en-AU"/>
        </w:rPr>
        <w:t xml:space="preserve"> </w:t>
      </w:r>
      <w:proofErr w:type="spellStart"/>
      <w:r w:rsidRPr="00613ECE">
        <w:rPr>
          <w:rFonts w:eastAsia="Segoe UI" w:cs="Segoe UI"/>
          <w:lang w:val="en-AU"/>
        </w:rPr>
        <w:t>sukarela</w:t>
      </w:r>
      <w:proofErr w:type="spellEnd"/>
      <w:r w:rsidRPr="00613ECE">
        <w:rPr>
          <w:rFonts w:eastAsia="Segoe UI" w:cs="Segoe UI"/>
          <w:lang w:val="en-AU"/>
        </w:rPr>
        <w:t xml:space="preserve"> dan </w:t>
      </w:r>
      <w:proofErr w:type="spellStart"/>
      <w:r w:rsidRPr="00613ECE">
        <w:rPr>
          <w:rFonts w:eastAsia="Segoe UI" w:cs="Segoe UI"/>
          <w:lang w:val="en-AU"/>
        </w:rPr>
        <w:t>keleluasaan</w:t>
      </w:r>
      <w:proofErr w:type="spellEnd"/>
      <w:r w:rsidRPr="00613ECE">
        <w:rPr>
          <w:rFonts w:eastAsia="Segoe UI" w:cs="Segoe UI"/>
          <w:lang w:val="en-AU"/>
        </w:rPr>
        <w:t xml:space="preserve"> </w:t>
      </w:r>
      <w:proofErr w:type="spellStart"/>
      <w:r>
        <w:rPr>
          <w:rFonts w:eastAsia="Segoe UI" w:cs="Segoe UI"/>
          <w:lang w:val="en-AU"/>
        </w:rPr>
        <w:t>dalam</w:t>
      </w:r>
      <w:proofErr w:type="spellEnd"/>
      <w:r>
        <w:rPr>
          <w:rFonts w:eastAsia="Segoe UI" w:cs="Segoe UI"/>
          <w:lang w:val="en-AU"/>
        </w:rPr>
        <w:t xml:space="preserve"> </w:t>
      </w:r>
      <w:proofErr w:type="spellStart"/>
      <w:r w:rsidRPr="00613ECE">
        <w:rPr>
          <w:rFonts w:eastAsia="Segoe UI" w:cs="Segoe UI"/>
          <w:lang w:val="en-AU"/>
        </w:rPr>
        <w:t>pengukuran</w:t>
      </w:r>
      <w:proofErr w:type="spellEnd"/>
      <w:r w:rsidRPr="00613ECE">
        <w:rPr>
          <w:rFonts w:eastAsia="Segoe UI" w:cs="Segoe UI"/>
          <w:lang w:val="en-AU"/>
        </w:rPr>
        <w:t xml:space="preserve">, </w:t>
      </w:r>
      <w:proofErr w:type="spellStart"/>
      <w:r w:rsidRPr="00613ECE">
        <w:rPr>
          <w:rFonts w:eastAsia="Segoe UI" w:cs="Segoe UI"/>
          <w:lang w:val="en-AU"/>
        </w:rPr>
        <w:t>serta</w:t>
      </w:r>
      <w:proofErr w:type="spellEnd"/>
      <w:r w:rsidRPr="00613ECE">
        <w:rPr>
          <w:rFonts w:eastAsia="Segoe UI" w:cs="Segoe UI"/>
          <w:lang w:val="en-AU"/>
        </w:rPr>
        <w:t xml:space="preserve"> </w:t>
      </w:r>
      <w:proofErr w:type="spellStart"/>
      <w:r w:rsidRPr="00613ECE">
        <w:rPr>
          <w:rFonts w:eastAsia="Segoe UI" w:cs="Segoe UI"/>
          <w:lang w:val="en-AU"/>
        </w:rPr>
        <w:t>rasionalisasi</w:t>
      </w:r>
      <w:proofErr w:type="spellEnd"/>
      <w:r w:rsidRPr="00613ECE">
        <w:rPr>
          <w:rFonts w:eastAsia="Segoe UI" w:cs="Segoe UI"/>
          <w:lang w:val="en-AU"/>
        </w:rPr>
        <w:t xml:space="preserve"> yang </w:t>
      </w:r>
      <w:proofErr w:type="spellStart"/>
      <w:r w:rsidRPr="00613ECE">
        <w:rPr>
          <w:rFonts w:eastAsia="Segoe UI" w:cs="Segoe UI"/>
          <w:lang w:val="en-AU"/>
        </w:rPr>
        <w:t>membuat</w:t>
      </w:r>
      <w:proofErr w:type="spellEnd"/>
      <w:r w:rsidRPr="00613ECE">
        <w:rPr>
          <w:rFonts w:eastAsia="Segoe UI" w:cs="Segoe UI"/>
          <w:lang w:val="en-AU"/>
        </w:rPr>
        <w:t xml:space="preserve"> </w:t>
      </w:r>
      <w:proofErr w:type="spellStart"/>
      <w:r w:rsidRPr="00613ECE">
        <w:rPr>
          <w:rFonts w:eastAsia="Segoe UI" w:cs="Segoe UI"/>
          <w:lang w:val="en-AU"/>
        </w:rPr>
        <w:t>pelakunya</w:t>
      </w:r>
      <w:proofErr w:type="spellEnd"/>
      <w:r w:rsidRPr="00613ECE">
        <w:rPr>
          <w:rFonts w:eastAsia="Segoe UI" w:cs="Segoe UI"/>
          <w:lang w:val="en-AU"/>
        </w:rPr>
        <w:t xml:space="preserve"> </w:t>
      </w:r>
      <w:proofErr w:type="spellStart"/>
      <w:r w:rsidRPr="00613ECE">
        <w:rPr>
          <w:rFonts w:eastAsia="Segoe UI" w:cs="Segoe UI"/>
          <w:lang w:val="en-AU"/>
        </w:rPr>
        <w:t>tidak</w:t>
      </w:r>
      <w:proofErr w:type="spellEnd"/>
      <w:r w:rsidRPr="00613ECE">
        <w:rPr>
          <w:rFonts w:eastAsia="Segoe UI" w:cs="Segoe UI"/>
          <w:lang w:val="en-AU"/>
        </w:rPr>
        <w:t xml:space="preserve"> </w:t>
      </w:r>
      <w:proofErr w:type="spellStart"/>
      <w:r w:rsidRPr="00613ECE">
        <w:rPr>
          <w:rFonts w:eastAsia="Segoe UI" w:cs="Segoe UI"/>
          <w:lang w:val="en-AU"/>
        </w:rPr>
        <w:t>merasa</w:t>
      </w:r>
      <w:proofErr w:type="spellEnd"/>
      <w:r w:rsidRPr="00613ECE">
        <w:rPr>
          <w:rFonts w:eastAsia="Segoe UI" w:cs="Segoe UI"/>
          <w:lang w:val="en-AU"/>
        </w:rPr>
        <w:t xml:space="preserve"> </w:t>
      </w:r>
      <w:proofErr w:type="spellStart"/>
      <w:r w:rsidRPr="00613ECE">
        <w:rPr>
          <w:rFonts w:eastAsia="Segoe UI" w:cs="Segoe UI"/>
          <w:lang w:val="en-AU"/>
        </w:rPr>
        <w:t>sedang</w:t>
      </w:r>
      <w:proofErr w:type="spellEnd"/>
      <w:r w:rsidRPr="00613ECE">
        <w:rPr>
          <w:rFonts w:eastAsia="Segoe UI" w:cs="Segoe UI"/>
          <w:lang w:val="en-AU"/>
        </w:rPr>
        <w:t xml:space="preserve"> </w:t>
      </w:r>
      <w:proofErr w:type="spellStart"/>
      <w:r w:rsidRPr="00613ECE">
        <w:rPr>
          <w:rFonts w:eastAsia="Segoe UI" w:cs="Segoe UI"/>
          <w:lang w:val="en-AU"/>
        </w:rPr>
        <w:t>berbuat</w:t>
      </w:r>
      <w:proofErr w:type="spellEnd"/>
      <w:r w:rsidRPr="00613ECE">
        <w:rPr>
          <w:rFonts w:eastAsia="Segoe UI" w:cs="Segoe UI"/>
          <w:lang w:val="en-AU"/>
        </w:rPr>
        <w:t xml:space="preserve"> </w:t>
      </w:r>
      <w:proofErr w:type="spellStart"/>
      <w:r w:rsidRPr="00613ECE">
        <w:rPr>
          <w:rFonts w:eastAsia="Segoe UI" w:cs="Segoe UI"/>
          <w:lang w:val="en-AU"/>
        </w:rPr>
        <w:t>keliru</w:t>
      </w:r>
      <w:proofErr w:type="spellEnd"/>
      <w:r w:rsidRPr="00613ECE">
        <w:rPr>
          <w:rFonts w:eastAsia="Segoe UI" w:cs="Segoe UI"/>
          <w:lang w:val="en-AU"/>
        </w:rPr>
        <w:t xml:space="preserve">. </w:t>
      </w:r>
      <w:r w:rsidRPr="00423848">
        <w:rPr>
          <w:rFonts w:eastAsia="Segoe UI" w:cs="Segoe UI"/>
          <w:lang w:val="sv-SE"/>
        </w:rPr>
        <w:t>Ketiga unsur tersebut terwujud dalam taktik manajemen kesan berupa penghilangan selektif, distorsi grafik, pengelolaan nada, dan pencitraan visual. Temuan bahwa jurang manajemen kesan tetap bertahan di tengah menguatnya tekanan regulasi menegaskan bahwa pendekatan kepatuhan semata tidak memadai.</w:t>
      </w:r>
    </w:p>
    <w:p w14:paraId="281C0A8D" w14:textId="6C3F9C97" w:rsidR="00613ECE" w:rsidRPr="00423848" w:rsidRDefault="00613ECE" w:rsidP="00C762C3">
      <w:pPr>
        <w:spacing w:after="0" w:line="240" w:lineRule="auto"/>
        <w:ind w:left="567" w:firstLine="567"/>
        <w:rPr>
          <w:lang w:val="sv-SE"/>
        </w:rPr>
      </w:pPr>
      <w:r w:rsidRPr="00423848">
        <w:rPr>
          <w:rFonts w:eastAsia="Segoe UI" w:cs="Segoe UI"/>
          <w:lang w:val="sv-SE"/>
        </w:rPr>
        <w:t>Kontribusi kajian ini berupa kerangka konseptual yang menautkan tekanan, peluang, dan rasionalisasi dengan taktik manajemen kesan, beserta empat proposisi yang dapat diuji. Berdasarkan kerangka tersebut, praktik asurans disarankan</w:t>
      </w:r>
      <w:r w:rsidR="0083527D">
        <w:rPr>
          <w:rFonts w:eastAsia="Segoe UI" w:cs="Segoe UI"/>
          <w:lang w:val="sv-SE"/>
        </w:rPr>
        <w:t xml:space="preserve"> untuk</w:t>
      </w:r>
      <w:r w:rsidRPr="00423848">
        <w:rPr>
          <w:rFonts w:eastAsia="Segoe UI" w:cs="Segoe UI"/>
          <w:lang w:val="sv-SE"/>
        </w:rPr>
        <w:t xml:space="preserve"> memperluas fokus penelaahan pada informasi yang tidak disajikan dan pada konsistensi nada antarlaporan, sementara regulator perlu mempersempit ruang kebijakan yang membuka peluang pemolesan sekaligus mewajibkan pengungkapan informasi yang tidak menguntungkan. Perlu ditegaskan bahwa kedua langkah tersebut tidak saling menggantikan, sebab yang pertama menyentuh unsur peluang</w:t>
      </w:r>
      <w:r w:rsidR="0083527D">
        <w:rPr>
          <w:rFonts w:eastAsia="Segoe UI" w:cs="Segoe UI"/>
          <w:lang w:val="sv-SE"/>
        </w:rPr>
        <w:t>,</w:t>
      </w:r>
      <w:r w:rsidRPr="00423848">
        <w:rPr>
          <w:rFonts w:eastAsia="Segoe UI" w:cs="Segoe UI"/>
          <w:lang w:val="sv-SE"/>
        </w:rPr>
        <w:t xml:space="preserve"> sedangkan yang kedua perlu dilengkapi</w:t>
      </w:r>
      <w:r w:rsidR="0083527D">
        <w:rPr>
          <w:rFonts w:eastAsia="Segoe UI" w:cs="Segoe UI"/>
          <w:lang w:val="sv-SE"/>
        </w:rPr>
        <w:t xml:space="preserve"> dengan</w:t>
      </w:r>
      <w:r w:rsidRPr="00423848">
        <w:rPr>
          <w:rFonts w:eastAsia="Segoe UI" w:cs="Segoe UI"/>
          <w:lang w:val="sv-SE"/>
        </w:rPr>
        <w:t xml:space="preserve"> penguatan norma etika untuk menyentuh unsur rasionalisasi. Institusi pendidikan akuntansi disarankan </w:t>
      </w:r>
      <w:r w:rsidR="0083527D">
        <w:rPr>
          <w:rFonts w:eastAsia="Segoe UI" w:cs="Segoe UI"/>
          <w:lang w:val="sv-SE"/>
        </w:rPr>
        <w:t xml:space="preserve">untuk </w:t>
      </w:r>
      <w:r w:rsidRPr="00423848">
        <w:rPr>
          <w:rFonts w:eastAsia="Segoe UI" w:cs="Segoe UI"/>
          <w:lang w:val="sv-SE"/>
        </w:rPr>
        <w:t xml:space="preserve">mengembangkan kemampuan mahasiswa dalam mengenali tekanan dan rasionalisasi dalam situasi kerja yang </w:t>
      </w:r>
      <w:r w:rsidR="0083527D">
        <w:rPr>
          <w:rFonts w:eastAsia="Segoe UI" w:cs="Segoe UI"/>
          <w:lang w:val="sv-SE"/>
        </w:rPr>
        <w:t>sebenarnya</w:t>
      </w:r>
      <w:r w:rsidRPr="00423848">
        <w:rPr>
          <w:rFonts w:eastAsia="Segoe UI" w:cs="Segoe UI"/>
          <w:lang w:val="sv-SE"/>
        </w:rPr>
        <w:t xml:space="preserve">. Penelitian selanjutnya diharapkan menguji keempat proposisi tersebut pada laporan keberlanjutan perusahaan Indonesia, baik melalui analisis tekstual maupun melalui desain eksperimental, sehingga pembacaan keperilakuan atas </w:t>
      </w:r>
      <w:r w:rsidRPr="00423848">
        <w:rPr>
          <w:rFonts w:eastAsia="Segoe UI" w:cs="Segoe UI"/>
          <w:i/>
          <w:iCs/>
          <w:lang w:val="sv-SE"/>
        </w:rPr>
        <w:t>greenwashing</w:t>
      </w:r>
      <w:r w:rsidRPr="00423848">
        <w:rPr>
          <w:rFonts w:eastAsia="Segoe UI" w:cs="Segoe UI"/>
          <w:lang w:val="sv-SE"/>
        </w:rPr>
        <w:t xml:space="preserve"> memperoleh dukungan bukti yang lebih kuat.</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310B877E" w14:textId="77777777" w:rsidR="001E0508" w:rsidRPr="00EA7E75" w:rsidRDefault="001E0508" w:rsidP="00C762C3">
      <w:pPr>
        <w:pStyle w:val="IEEEHeading1"/>
        <w:numPr>
          <w:ilvl w:val="0"/>
          <w:numId w:val="0"/>
        </w:numPr>
        <w:spacing w:before="0"/>
        <w:ind w:firstLine="567"/>
        <w:jc w:val="both"/>
        <w:rPr>
          <w:rFonts w:ascii="Segoe UI" w:hAnsi="Segoe UI" w:cs="Segoe UI"/>
          <w:b/>
          <w:bCs/>
          <w:sz w:val="24"/>
          <w:lang w:val="sv-SE"/>
        </w:rPr>
      </w:pPr>
      <w:r w:rsidRPr="00EA7E75">
        <w:rPr>
          <w:rFonts w:ascii="Segoe UI" w:hAnsi="Segoe UI" w:cs="Segoe UI"/>
          <w:b/>
          <w:bCs/>
          <w:sz w:val="24"/>
          <w:lang w:val="sv-SE"/>
        </w:rPr>
        <w:t>Referensi</w:t>
      </w:r>
    </w:p>
    <w:p w14:paraId="5D463EC7" w14:textId="1FABD02F" w:rsidR="00613ECE" w:rsidRDefault="003A4408" w:rsidP="00C762C3">
      <w:pPr>
        <w:widowControl w:val="0"/>
        <w:autoSpaceDE w:val="0"/>
        <w:autoSpaceDN w:val="0"/>
        <w:adjustRightInd w:val="0"/>
        <w:spacing w:after="0" w:line="240" w:lineRule="auto"/>
        <w:ind w:left="1134" w:hanging="567"/>
        <w:rPr>
          <w:rFonts w:cs="Segoe UI"/>
          <w:noProof/>
        </w:rPr>
      </w:pPr>
      <w:r>
        <w:rPr>
          <w:rFonts w:cs="Segoe UI"/>
        </w:rPr>
        <w:fldChar w:fldCharType="begin" w:fldLock="1"/>
      </w:r>
      <w:r>
        <w:rPr>
          <w:rFonts w:cs="Segoe UI"/>
        </w:rPr>
        <w:instrText xml:space="preserve">ADDIN Mendeley Bibliography CSL_BIBLIOGRAPHY </w:instrText>
      </w:r>
      <w:r>
        <w:rPr>
          <w:rFonts w:cs="Segoe UI"/>
        </w:rPr>
        <w:fldChar w:fldCharType="separate"/>
      </w:r>
      <w:r w:rsidR="00613ECE" w:rsidRPr="00613ECE">
        <w:rPr>
          <w:rFonts w:cs="Segoe UI"/>
          <w:noProof/>
        </w:rPr>
        <w:t xml:space="preserve">Ajzen, I. (1991). The theory of planned behavior. </w:t>
      </w:r>
      <w:r w:rsidR="00613ECE" w:rsidRPr="00613ECE">
        <w:rPr>
          <w:rFonts w:cs="Segoe UI"/>
          <w:i/>
          <w:iCs/>
          <w:noProof/>
        </w:rPr>
        <w:t>Organizational Behavior and Human Decision Processes</w:t>
      </w:r>
      <w:r w:rsidR="00613ECE" w:rsidRPr="00613ECE">
        <w:rPr>
          <w:rFonts w:cs="Segoe UI"/>
          <w:noProof/>
        </w:rPr>
        <w:t xml:space="preserve">, </w:t>
      </w:r>
      <w:r w:rsidR="00613ECE" w:rsidRPr="00613ECE">
        <w:rPr>
          <w:rFonts w:cs="Segoe UI"/>
          <w:i/>
          <w:iCs/>
          <w:noProof/>
        </w:rPr>
        <w:t>50</w:t>
      </w:r>
      <w:r w:rsidR="00613ECE" w:rsidRPr="00613ECE">
        <w:rPr>
          <w:rFonts w:cs="Segoe UI"/>
          <w:noProof/>
        </w:rPr>
        <w:t>(2), 179–211. https://doi.org/10.1016/0749-5978(91)90020-T</w:t>
      </w:r>
    </w:p>
    <w:p w14:paraId="342EA03D"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6AE336ED"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Bandura, A. (1999). Moral Disengagement in the Perpetration of Inhumanities. </w:t>
      </w:r>
      <w:r w:rsidRPr="00613ECE">
        <w:rPr>
          <w:rFonts w:cs="Segoe UI"/>
          <w:i/>
          <w:iCs/>
          <w:noProof/>
        </w:rPr>
        <w:t>Personality and Social Psychology Review</w:t>
      </w:r>
      <w:r w:rsidRPr="00613ECE">
        <w:rPr>
          <w:rFonts w:cs="Segoe UI"/>
          <w:noProof/>
        </w:rPr>
        <w:t xml:space="preserve">, </w:t>
      </w:r>
      <w:r w:rsidRPr="00613ECE">
        <w:rPr>
          <w:rFonts w:cs="Segoe UI"/>
          <w:i/>
          <w:iCs/>
          <w:noProof/>
        </w:rPr>
        <w:t>3</w:t>
      </w:r>
      <w:r w:rsidRPr="00613ECE">
        <w:rPr>
          <w:rFonts w:cs="Segoe UI"/>
          <w:noProof/>
        </w:rPr>
        <w:t>(3), 193–209. https://doi.org/10.1207/s15327957pspr0303_3</w:t>
      </w:r>
    </w:p>
    <w:p w14:paraId="77F5D4A3"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29BF0BC0"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Black, E. L., Burton, F. G., &amp; Cieslewicz, J. K. (2022). Improving Ethics: Extending the Theory of Planned Behavior to Include Moral Disengagement. </w:t>
      </w:r>
      <w:r w:rsidRPr="00613ECE">
        <w:rPr>
          <w:rFonts w:cs="Segoe UI"/>
          <w:i/>
          <w:iCs/>
          <w:noProof/>
        </w:rPr>
        <w:t>Journal of Business Ethics</w:t>
      </w:r>
      <w:r w:rsidRPr="00613ECE">
        <w:rPr>
          <w:rFonts w:cs="Segoe UI"/>
          <w:noProof/>
        </w:rPr>
        <w:t xml:space="preserve">, </w:t>
      </w:r>
      <w:r w:rsidRPr="00613ECE">
        <w:rPr>
          <w:rFonts w:cs="Segoe UI"/>
          <w:i/>
          <w:iCs/>
          <w:noProof/>
        </w:rPr>
        <w:t>181</w:t>
      </w:r>
      <w:r w:rsidRPr="00613ECE">
        <w:rPr>
          <w:rFonts w:cs="Segoe UI"/>
          <w:noProof/>
        </w:rPr>
        <w:t>(4), 945–978. https://doi.org/10.1007/s10551-021-04896-z</w:t>
      </w:r>
    </w:p>
    <w:p w14:paraId="5FBB63FF"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21327CB9"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Chauhan, A. S., Sikarwar, T. S., &amp; Raj, M. (2024). Trends and patterns in behavioral accounting research: 53 years of bibliometric analysis. </w:t>
      </w:r>
      <w:r w:rsidRPr="00613ECE">
        <w:rPr>
          <w:rFonts w:cs="Segoe UI"/>
          <w:i/>
          <w:iCs/>
          <w:noProof/>
        </w:rPr>
        <w:t>Accounting Research Journal</w:t>
      </w:r>
      <w:r w:rsidRPr="00613ECE">
        <w:rPr>
          <w:rFonts w:cs="Segoe UI"/>
          <w:noProof/>
        </w:rPr>
        <w:t xml:space="preserve">, </w:t>
      </w:r>
      <w:r w:rsidRPr="00613ECE">
        <w:rPr>
          <w:rFonts w:cs="Segoe UI"/>
          <w:i/>
          <w:iCs/>
          <w:noProof/>
        </w:rPr>
        <w:t>37</w:t>
      </w:r>
      <w:r w:rsidRPr="00613ECE">
        <w:rPr>
          <w:rFonts w:cs="Segoe UI"/>
          <w:noProof/>
        </w:rPr>
        <w:t>(6), 595–614. https://doi.org/10.1108/ARJ-09-2023-0246</w:t>
      </w:r>
    </w:p>
    <w:p w14:paraId="71323A41"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28E792FC"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de Freitas Netto, S. V., Sobral, M. F. F., Ribeiro, A. R. B., &amp; Soares, G. R. da L. (2020). Concepts and forms of greenwashing: a systematic review. </w:t>
      </w:r>
      <w:r w:rsidRPr="00613ECE">
        <w:rPr>
          <w:rFonts w:cs="Segoe UI"/>
          <w:i/>
          <w:iCs/>
          <w:noProof/>
        </w:rPr>
        <w:t>Environmental Sciences Europe</w:t>
      </w:r>
      <w:r w:rsidRPr="00613ECE">
        <w:rPr>
          <w:rFonts w:cs="Segoe UI"/>
          <w:noProof/>
        </w:rPr>
        <w:t xml:space="preserve">, </w:t>
      </w:r>
      <w:r w:rsidRPr="00613ECE">
        <w:rPr>
          <w:rFonts w:cs="Segoe UI"/>
          <w:i/>
          <w:iCs/>
          <w:noProof/>
        </w:rPr>
        <w:t>32</w:t>
      </w:r>
      <w:r w:rsidRPr="00613ECE">
        <w:rPr>
          <w:rFonts w:cs="Segoe UI"/>
          <w:noProof/>
        </w:rPr>
        <w:t>(1), 19. https://doi.org/10.1186/s12302-020-0300-3</w:t>
      </w:r>
    </w:p>
    <w:p w14:paraId="0E28B1D1"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56FE95DA"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García-Sánchez, I.-M., Hussain, N., Khan, S.-A., &amp; Martínez-Ferrero, J. (2021). Do Markets Punish or Reward Corporate Social Responsibility Decoupling? </w:t>
      </w:r>
      <w:r w:rsidRPr="00613ECE">
        <w:rPr>
          <w:rFonts w:cs="Segoe UI"/>
          <w:i/>
          <w:iCs/>
          <w:noProof/>
        </w:rPr>
        <w:t>Business &amp; Society</w:t>
      </w:r>
      <w:r w:rsidRPr="00613ECE">
        <w:rPr>
          <w:rFonts w:cs="Segoe UI"/>
          <w:noProof/>
        </w:rPr>
        <w:t xml:space="preserve">, </w:t>
      </w:r>
      <w:r w:rsidRPr="00613ECE">
        <w:rPr>
          <w:rFonts w:cs="Segoe UI"/>
          <w:i/>
          <w:iCs/>
          <w:noProof/>
        </w:rPr>
        <w:t>60</w:t>
      </w:r>
      <w:r w:rsidRPr="00613ECE">
        <w:rPr>
          <w:rFonts w:cs="Segoe UI"/>
          <w:noProof/>
        </w:rPr>
        <w:t>(6), 1431–1467. https://doi.org/10.1177/0007650319898839</w:t>
      </w:r>
    </w:p>
    <w:p w14:paraId="3A8C2A2F"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7FC7B0E5"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lastRenderedPageBreak/>
        <w:t xml:space="preserve">Hanlon, M., Yeung, K., &amp; Zuo, L. (2022). Behavioral Economics of Accounting: A Review of Archival Research on Individual Decision Makers*. </w:t>
      </w:r>
      <w:r w:rsidRPr="00613ECE">
        <w:rPr>
          <w:rFonts w:cs="Segoe UI"/>
          <w:i/>
          <w:iCs/>
          <w:noProof/>
        </w:rPr>
        <w:t>Contemporary Accounting Research</w:t>
      </w:r>
      <w:r w:rsidRPr="00613ECE">
        <w:rPr>
          <w:rFonts w:cs="Segoe UI"/>
          <w:noProof/>
        </w:rPr>
        <w:t xml:space="preserve">, </w:t>
      </w:r>
      <w:r w:rsidRPr="00613ECE">
        <w:rPr>
          <w:rFonts w:cs="Segoe UI"/>
          <w:i/>
          <w:iCs/>
          <w:noProof/>
        </w:rPr>
        <w:t>39</w:t>
      </w:r>
      <w:r w:rsidRPr="00613ECE">
        <w:rPr>
          <w:rFonts w:cs="Segoe UI"/>
          <w:noProof/>
        </w:rPr>
        <w:t>(2), 1150–1214. https://doi.org/10.1111/1911-3846.12739</w:t>
      </w:r>
    </w:p>
    <w:p w14:paraId="2FAC8108"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2ADA4631"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Hummel, K., &amp; Jobst, D. (2024). An Overview of Corporate Sustainability Reporting Legislation in the European Union. </w:t>
      </w:r>
      <w:r w:rsidRPr="00613ECE">
        <w:rPr>
          <w:rFonts w:cs="Segoe UI"/>
          <w:i/>
          <w:iCs/>
          <w:noProof/>
        </w:rPr>
        <w:t>Accounting in Europe</w:t>
      </w:r>
      <w:r w:rsidRPr="00613ECE">
        <w:rPr>
          <w:rFonts w:cs="Segoe UI"/>
          <w:noProof/>
        </w:rPr>
        <w:t xml:space="preserve">, </w:t>
      </w:r>
      <w:r w:rsidRPr="00613ECE">
        <w:rPr>
          <w:rFonts w:cs="Segoe UI"/>
          <w:i/>
          <w:iCs/>
          <w:noProof/>
        </w:rPr>
        <w:t>21</w:t>
      </w:r>
      <w:r w:rsidRPr="00613ECE">
        <w:rPr>
          <w:rFonts w:cs="Segoe UI"/>
          <w:noProof/>
        </w:rPr>
        <w:t>(3), 320–355. https://doi.org/10.1080/17449480.2024.2312145</w:t>
      </w:r>
    </w:p>
    <w:p w14:paraId="0DABB6B5"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12C3892A"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Irawati, Prananingtyas, P., &amp; Wulan, R. C. (2023). Regulation Urgency of the Misleading ``Greenwashing’’ Marketing Concept in Indonesia. </w:t>
      </w:r>
      <w:r w:rsidRPr="00613ECE">
        <w:rPr>
          <w:rFonts w:cs="Segoe UI"/>
          <w:i/>
          <w:iCs/>
          <w:noProof/>
        </w:rPr>
        <w:t>IOP Conference Series: Earth and Environmental Science</w:t>
      </w:r>
      <w:r w:rsidRPr="00613ECE">
        <w:rPr>
          <w:rFonts w:cs="Segoe UI"/>
          <w:noProof/>
        </w:rPr>
        <w:t xml:space="preserve">, </w:t>
      </w:r>
      <w:r w:rsidRPr="00613ECE">
        <w:rPr>
          <w:rFonts w:cs="Segoe UI"/>
          <w:i/>
          <w:iCs/>
          <w:noProof/>
        </w:rPr>
        <w:t>1270</w:t>
      </w:r>
      <w:r w:rsidRPr="00613ECE">
        <w:rPr>
          <w:rFonts w:cs="Segoe UI"/>
          <w:noProof/>
        </w:rPr>
        <w:t>(1), 12007. https://doi.org/10.1088/1755-1315/1270/1/012007</w:t>
      </w:r>
    </w:p>
    <w:p w14:paraId="6DC56425"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7271CF0C" w14:textId="30147351"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Khan, H. Z., Bose, S., Mollik, A. T., &amp; Harun, H. (2020). “</w:t>
      </w:r>
      <w:r w:rsidR="00C762C3">
        <w:rPr>
          <w:rFonts w:cs="Segoe UI"/>
          <w:noProof/>
        </w:rPr>
        <w:t>Greenwashing</w:t>
      </w:r>
      <w:r w:rsidRPr="00613ECE">
        <w:rPr>
          <w:rFonts w:cs="Segoe UI"/>
          <w:noProof/>
        </w:rPr>
        <w:t xml:space="preserve">” or “authentic effort”? An empirical investigation of the quality of sustainability reporting by banks. </w:t>
      </w:r>
      <w:r w:rsidRPr="00613ECE">
        <w:rPr>
          <w:rFonts w:cs="Segoe UI"/>
          <w:i/>
          <w:iCs/>
          <w:noProof/>
        </w:rPr>
        <w:t>Accounting, Auditing &amp; Accountability Journal</w:t>
      </w:r>
      <w:r w:rsidRPr="00613ECE">
        <w:rPr>
          <w:rFonts w:cs="Segoe UI"/>
          <w:noProof/>
        </w:rPr>
        <w:t xml:space="preserve">, </w:t>
      </w:r>
      <w:r w:rsidRPr="00613ECE">
        <w:rPr>
          <w:rFonts w:cs="Segoe UI"/>
          <w:i/>
          <w:iCs/>
          <w:noProof/>
        </w:rPr>
        <w:t>34</w:t>
      </w:r>
      <w:r w:rsidRPr="00613ECE">
        <w:rPr>
          <w:rFonts w:cs="Segoe UI"/>
          <w:noProof/>
        </w:rPr>
        <w:t>(2), 338–369. https://doi.org/10.1108/AAAJ-01-2018-3330</w:t>
      </w:r>
    </w:p>
    <w:p w14:paraId="36D26005"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1320E172"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Kurpierz, J. R., &amp; Smith, K. (2020). The greenwashing triangle: adapting tools from fraud to improve CSR reporting. </w:t>
      </w:r>
      <w:r w:rsidRPr="00613ECE">
        <w:rPr>
          <w:rFonts w:cs="Segoe UI"/>
          <w:i/>
          <w:iCs/>
          <w:noProof/>
        </w:rPr>
        <w:t>Sustainability Accounting, Management and Policy Journal</w:t>
      </w:r>
      <w:r w:rsidRPr="00613ECE">
        <w:rPr>
          <w:rFonts w:cs="Segoe UI"/>
          <w:noProof/>
        </w:rPr>
        <w:t xml:space="preserve">, </w:t>
      </w:r>
      <w:r w:rsidRPr="00613ECE">
        <w:rPr>
          <w:rFonts w:cs="Segoe UI"/>
          <w:i/>
          <w:iCs/>
          <w:noProof/>
        </w:rPr>
        <w:t>11</w:t>
      </w:r>
      <w:r w:rsidRPr="00613ECE">
        <w:rPr>
          <w:rFonts w:cs="Segoe UI"/>
          <w:noProof/>
        </w:rPr>
        <w:t>(6), 1075–1093. https://doi.org/10.1108/SAMPJ-10-2018-0272</w:t>
      </w:r>
    </w:p>
    <w:p w14:paraId="6D58F08A"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6F757D0C"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Momin, M. A., Ahmed, Z. U., &amp; Liu, R. (2022). Use of visuals in sustainability reporting by New Zealand Stock Exchange (NZX) listed companies: an impression management perspective. </w:t>
      </w:r>
      <w:r w:rsidRPr="00613ECE">
        <w:rPr>
          <w:rFonts w:cs="Segoe UI"/>
          <w:i/>
          <w:iCs/>
          <w:noProof/>
        </w:rPr>
        <w:t>Asian Review of Accounting</w:t>
      </w:r>
      <w:r w:rsidRPr="00613ECE">
        <w:rPr>
          <w:rFonts w:cs="Segoe UI"/>
          <w:noProof/>
        </w:rPr>
        <w:t xml:space="preserve">, </w:t>
      </w:r>
      <w:r w:rsidRPr="00613ECE">
        <w:rPr>
          <w:rFonts w:cs="Segoe UI"/>
          <w:i/>
          <w:iCs/>
          <w:noProof/>
        </w:rPr>
        <w:t>31</w:t>
      </w:r>
      <w:r w:rsidRPr="00613ECE">
        <w:rPr>
          <w:rFonts w:cs="Segoe UI"/>
          <w:noProof/>
        </w:rPr>
        <w:t>(2), 181–202. https://doi.org/10.1108/ARA-04-2022-0078</w:t>
      </w:r>
    </w:p>
    <w:p w14:paraId="09DAFED1"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094B1CC4"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Moodaley, W., &amp; Telukdarie, A. (2023). Greenwashing, Sustainability Reporting, and Artificial Intelligence: A Systematic Literature Review. In </w:t>
      </w:r>
      <w:r w:rsidRPr="00613ECE">
        <w:rPr>
          <w:rFonts w:cs="Segoe UI"/>
          <w:i/>
          <w:iCs/>
          <w:noProof/>
        </w:rPr>
        <w:t>Sustainability</w:t>
      </w:r>
      <w:r w:rsidRPr="00613ECE">
        <w:rPr>
          <w:rFonts w:cs="Segoe UI"/>
          <w:noProof/>
        </w:rPr>
        <w:t xml:space="preserve"> (Vol. 15, Issue 2, p. 1481). https://doi.org/10.3390/su15021481</w:t>
      </w:r>
    </w:p>
    <w:p w14:paraId="71FE812E"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219B31CB"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Purnamasari, P., &amp; Umiyati, I. (2024). Greenwashing and financial performance of firms: the moderating role of internal audit quality and digital technologies. </w:t>
      </w:r>
      <w:r w:rsidRPr="00613ECE">
        <w:rPr>
          <w:rFonts w:cs="Segoe UI"/>
          <w:i/>
          <w:iCs/>
          <w:noProof/>
        </w:rPr>
        <w:t>Cogent Business &amp; Management</w:t>
      </w:r>
      <w:r w:rsidRPr="00613ECE">
        <w:rPr>
          <w:rFonts w:cs="Segoe UI"/>
          <w:noProof/>
        </w:rPr>
        <w:t xml:space="preserve">, </w:t>
      </w:r>
      <w:r w:rsidRPr="00613ECE">
        <w:rPr>
          <w:rFonts w:cs="Segoe UI"/>
          <w:i/>
          <w:iCs/>
          <w:noProof/>
        </w:rPr>
        <w:t>11</w:t>
      </w:r>
      <w:r w:rsidRPr="00613ECE">
        <w:rPr>
          <w:rFonts w:cs="Segoe UI"/>
          <w:noProof/>
        </w:rPr>
        <w:t>(1), 2404236. https://doi.org/10.1080/23311975.2024.2404236</w:t>
      </w:r>
    </w:p>
    <w:p w14:paraId="06610D14"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59D20120" w14:textId="77777777" w:rsid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Sneideriene, A., &amp; Legenzova, R. (2025). Uncovering Greenwashing: Investigating Impression Management Gap in Corporate Reporting. In </w:t>
      </w:r>
      <w:r w:rsidRPr="00613ECE">
        <w:rPr>
          <w:rFonts w:cs="Segoe UI"/>
          <w:i/>
          <w:iCs/>
          <w:noProof/>
        </w:rPr>
        <w:t>Sustainability</w:t>
      </w:r>
      <w:r w:rsidRPr="00613ECE">
        <w:rPr>
          <w:rFonts w:cs="Segoe UI"/>
          <w:noProof/>
        </w:rPr>
        <w:t xml:space="preserve"> (Vol. 17, Issue 18, p. 8342). https://doi.org/10.3390/su17188342</w:t>
      </w:r>
    </w:p>
    <w:p w14:paraId="1E51DE00" w14:textId="77777777" w:rsidR="00C762C3" w:rsidRPr="00613ECE" w:rsidRDefault="00C762C3" w:rsidP="00C762C3">
      <w:pPr>
        <w:widowControl w:val="0"/>
        <w:autoSpaceDE w:val="0"/>
        <w:autoSpaceDN w:val="0"/>
        <w:adjustRightInd w:val="0"/>
        <w:spacing w:after="0" w:line="240" w:lineRule="auto"/>
        <w:ind w:left="1134" w:hanging="567"/>
        <w:rPr>
          <w:rFonts w:cs="Segoe UI"/>
          <w:noProof/>
        </w:rPr>
      </w:pPr>
    </w:p>
    <w:p w14:paraId="6882144B" w14:textId="77777777" w:rsidR="00613ECE" w:rsidRPr="00613ECE" w:rsidRDefault="00613ECE" w:rsidP="00C762C3">
      <w:pPr>
        <w:widowControl w:val="0"/>
        <w:autoSpaceDE w:val="0"/>
        <w:autoSpaceDN w:val="0"/>
        <w:adjustRightInd w:val="0"/>
        <w:spacing w:after="0" w:line="240" w:lineRule="auto"/>
        <w:ind w:left="1134" w:hanging="567"/>
        <w:rPr>
          <w:rFonts w:cs="Segoe UI"/>
          <w:noProof/>
        </w:rPr>
      </w:pPr>
      <w:r w:rsidRPr="00613ECE">
        <w:rPr>
          <w:rFonts w:cs="Segoe UI"/>
          <w:noProof/>
        </w:rPr>
        <w:t xml:space="preserve">Xu, W., Li, M., &amp; Xu, S. (2023). Unveiling the ``Veil’’ of information disclosure: Sustainability reporting ``greenwashing’’ and ``shared value’’. </w:t>
      </w:r>
      <w:r w:rsidRPr="00613ECE">
        <w:rPr>
          <w:rFonts w:cs="Segoe UI"/>
          <w:i/>
          <w:iCs/>
          <w:noProof/>
        </w:rPr>
        <w:t>PLOS ONE</w:t>
      </w:r>
      <w:r w:rsidRPr="00613ECE">
        <w:rPr>
          <w:rFonts w:cs="Segoe UI"/>
          <w:noProof/>
        </w:rPr>
        <w:t xml:space="preserve">, </w:t>
      </w:r>
      <w:r w:rsidRPr="00613ECE">
        <w:rPr>
          <w:rFonts w:cs="Segoe UI"/>
          <w:i/>
          <w:iCs/>
          <w:noProof/>
        </w:rPr>
        <w:t>18</w:t>
      </w:r>
      <w:r w:rsidRPr="00613ECE">
        <w:rPr>
          <w:rFonts w:cs="Segoe UI"/>
          <w:noProof/>
        </w:rPr>
        <w:t>(1), e0279904. https://doi.org/10.1371/journal.pone.0279904</w:t>
      </w:r>
    </w:p>
    <w:p w14:paraId="5E84CDA2" w14:textId="24799592" w:rsidR="003A4408" w:rsidRPr="003A4408" w:rsidRDefault="003A4408" w:rsidP="00C762C3">
      <w:pPr>
        <w:spacing w:line="240" w:lineRule="auto"/>
        <w:ind w:left="1134" w:right="645" w:hanging="567"/>
        <w:rPr>
          <w:rFonts w:cs="Segoe UI"/>
        </w:rPr>
      </w:pPr>
      <w:r>
        <w:rPr>
          <w:rFonts w:cs="Segoe UI"/>
        </w:rPr>
        <w:fldChar w:fldCharType="end"/>
      </w:r>
    </w:p>
    <w:sectPr w:rsidR="003A4408" w:rsidRPr="003A4408" w:rsidSect="00240A97">
      <w:type w:val="continuous"/>
      <w:pgSz w:w="11906" w:h="16838"/>
      <w:pgMar w:top="1077" w:right="99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41C37" w14:textId="77777777" w:rsidR="00B6688C" w:rsidRDefault="00B6688C" w:rsidP="009B0AF6">
      <w:pPr>
        <w:spacing w:after="0" w:line="240" w:lineRule="auto"/>
      </w:pPr>
      <w:r>
        <w:separator/>
      </w:r>
    </w:p>
  </w:endnote>
  <w:endnote w:type="continuationSeparator" w:id="0">
    <w:p w14:paraId="160FE58C" w14:textId="77777777" w:rsidR="00B6688C" w:rsidRDefault="00B6688C"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Penulis Satu1, Penulis Dua2, Penulis Tiga3*</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EC4BC" w14:textId="77777777" w:rsidR="00B6688C" w:rsidRDefault="00B6688C" w:rsidP="009B0AF6">
      <w:pPr>
        <w:spacing w:after="0" w:line="240" w:lineRule="auto"/>
      </w:pPr>
      <w:r>
        <w:separator/>
      </w:r>
    </w:p>
  </w:footnote>
  <w:footnote w:type="continuationSeparator" w:id="0">
    <w:p w14:paraId="4096B03E" w14:textId="77777777" w:rsidR="00B6688C" w:rsidRDefault="00B6688C"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1B83"/>
    <w:rsid w:val="0014656D"/>
    <w:rsid w:val="00147D80"/>
    <w:rsid w:val="00151806"/>
    <w:rsid w:val="0015233D"/>
    <w:rsid w:val="001538AE"/>
    <w:rsid w:val="00163AC5"/>
    <w:rsid w:val="00163C49"/>
    <w:rsid w:val="00163D87"/>
    <w:rsid w:val="00182758"/>
    <w:rsid w:val="001A17A4"/>
    <w:rsid w:val="001A5D8E"/>
    <w:rsid w:val="001A6456"/>
    <w:rsid w:val="001C62FB"/>
    <w:rsid w:val="001D43CD"/>
    <w:rsid w:val="001E0508"/>
    <w:rsid w:val="001E2A35"/>
    <w:rsid w:val="0023748A"/>
    <w:rsid w:val="00240A97"/>
    <w:rsid w:val="00241D17"/>
    <w:rsid w:val="00241DE7"/>
    <w:rsid w:val="00243347"/>
    <w:rsid w:val="002558A8"/>
    <w:rsid w:val="002558BC"/>
    <w:rsid w:val="00275A5B"/>
    <w:rsid w:val="0029081B"/>
    <w:rsid w:val="00290F9F"/>
    <w:rsid w:val="00292BDD"/>
    <w:rsid w:val="002D6D99"/>
    <w:rsid w:val="002F2804"/>
    <w:rsid w:val="00301FA5"/>
    <w:rsid w:val="00312F44"/>
    <w:rsid w:val="00321FEA"/>
    <w:rsid w:val="003243EB"/>
    <w:rsid w:val="00326B23"/>
    <w:rsid w:val="00332E82"/>
    <w:rsid w:val="00334F49"/>
    <w:rsid w:val="0035390E"/>
    <w:rsid w:val="00354464"/>
    <w:rsid w:val="00360226"/>
    <w:rsid w:val="00361A98"/>
    <w:rsid w:val="003627F5"/>
    <w:rsid w:val="003975A6"/>
    <w:rsid w:val="003A4408"/>
    <w:rsid w:val="003C789C"/>
    <w:rsid w:val="003D4A21"/>
    <w:rsid w:val="003E1FC4"/>
    <w:rsid w:val="003F2074"/>
    <w:rsid w:val="00400B9E"/>
    <w:rsid w:val="00413286"/>
    <w:rsid w:val="00417363"/>
    <w:rsid w:val="004202AE"/>
    <w:rsid w:val="00421218"/>
    <w:rsid w:val="00421533"/>
    <w:rsid w:val="00450179"/>
    <w:rsid w:val="00471F0C"/>
    <w:rsid w:val="00476608"/>
    <w:rsid w:val="004865A9"/>
    <w:rsid w:val="00491740"/>
    <w:rsid w:val="004B2979"/>
    <w:rsid w:val="004B7C52"/>
    <w:rsid w:val="004D7CF2"/>
    <w:rsid w:val="00502284"/>
    <w:rsid w:val="00521D13"/>
    <w:rsid w:val="005362BB"/>
    <w:rsid w:val="00550BFE"/>
    <w:rsid w:val="00581638"/>
    <w:rsid w:val="00587FB4"/>
    <w:rsid w:val="0059044B"/>
    <w:rsid w:val="005B7859"/>
    <w:rsid w:val="005C6A72"/>
    <w:rsid w:val="005D710E"/>
    <w:rsid w:val="005E1485"/>
    <w:rsid w:val="005F34D7"/>
    <w:rsid w:val="005F3FC0"/>
    <w:rsid w:val="00613274"/>
    <w:rsid w:val="00613ECE"/>
    <w:rsid w:val="006269EE"/>
    <w:rsid w:val="00627D33"/>
    <w:rsid w:val="00633241"/>
    <w:rsid w:val="006562C8"/>
    <w:rsid w:val="00660472"/>
    <w:rsid w:val="006658E1"/>
    <w:rsid w:val="00676A1B"/>
    <w:rsid w:val="006C6999"/>
    <w:rsid w:val="006F0069"/>
    <w:rsid w:val="006F20C0"/>
    <w:rsid w:val="0071791D"/>
    <w:rsid w:val="00732CD5"/>
    <w:rsid w:val="00742A70"/>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3527D"/>
    <w:rsid w:val="00846F89"/>
    <w:rsid w:val="00866359"/>
    <w:rsid w:val="00886EB8"/>
    <w:rsid w:val="00891C46"/>
    <w:rsid w:val="008A53F7"/>
    <w:rsid w:val="008B13FE"/>
    <w:rsid w:val="008B5ED1"/>
    <w:rsid w:val="00935A9E"/>
    <w:rsid w:val="00942C5B"/>
    <w:rsid w:val="00950641"/>
    <w:rsid w:val="00955050"/>
    <w:rsid w:val="0097540B"/>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026A9"/>
    <w:rsid w:val="00B168E1"/>
    <w:rsid w:val="00B34841"/>
    <w:rsid w:val="00B34CDD"/>
    <w:rsid w:val="00B44AD5"/>
    <w:rsid w:val="00B6688C"/>
    <w:rsid w:val="00B908C0"/>
    <w:rsid w:val="00BA38E8"/>
    <w:rsid w:val="00BB1200"/>
    <w:rsid w:val="00BC32E6"/>
    <w:rsid w:val="00BE12F5"/>
    <w:rsid w:val="00BF597D"/>
    <w:rsid w:val="00C00D09"/>
    <w:rsid w:val="00C01350"/>
    <w:rsid w:val="00C11D99"/>
    <w:rsid w:val="00C328D8"/>
    <w:rsid w:val="00C34D18"/>
    <w:rsid w:val="00C36D2B"/>
    <w:rsid w:val="00C478FE"/>
    <w:rsid w:val="00C556F2"/>
    <w:rsid w:val="00C56906"/>
    <w:rsid w:val="00C676AF"/>
    <w:rsid w:val="00C7085A"/>
    <w:rsid w:val="00C736C0"/>
    <w:rsid w:val="00C762C3"/>
    <w:rsid w:val="00CB3BDB"/>
    <w:rsid w:val="00CE0180"/>
    <w:rsid w:val="00D15939"/>
    <w:rsid w:val="00D5237D"/>
    <w:rsid w:val="00D616BE"/>
    <w:rsid w:val="00D62F9E"/>
    <w:rsid w:val="00D805CE"/>
    <w:rsid w:val="00D81C23"/>
    <w:rsid w:val="00D85C13"/>
    <w:rsid w:val="00D8693F"/>
    <w:rsid w:val="00D9104A"/>
    <w:rsid w:val="00D95354"/>
    <w:rsid w:val="00DA181C"/>
    <w:rsid w:val="00DC0FA0"/>
    <w:rsid w:val="00DC346D"/>
    <w:rsid w:val="00DC7B88"/>
    <w:rsid w:val="00DD211D"/>
    <w:rsid w:val="00DD43B2"/>
    <w:rsid w:val="00DD753D"/>
    <w:rsid w:val="00DE2320"/>
    <w:rsid w:val="00E02EE7"/>
    <w:rsid w:val="00E05BB1"/>
    <w:rsid w:val="00E109A4"/>
    <w:rsid w:val="00E3722F"/>
    <w:rsid w:val="00E37C1B"/>
    <w:rsid w:val="00E538A0"/>
    <w:rsid w:val="00E60EC1"/>
    <w:rsid w:val="00E854CC"/>
    <w:rsid w:val="00E913FA"/>
    <w:rsid w:val="00EA7010"/>
    <w:rsid w:val="00EA7E75"/>
    <w:rsid w:val="00EB308B"/>
    <w:rsid w:val="00ED73C9"/>
    <w:rsid w:val="00EF065F"/>
    <w:rsid w:val="00EF2199"/>
    <w:rsid w:val="00F2777C"/>
    <w:rsid w:val="00F47AF5"/>
    <w:rsid w:val="00F61991"/>
    <w:rsid w:val="00F91DA0"/>
    <w:rsid w:val="00FE3B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ischa@ukipaulus.ac.id"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12753</Words>
  <Characters>72694</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hp ryzen5</cp:lastModifiedBy>
  <cp:revision>25</cp:revision>
  <cp:lastPrinted>2023-04-17T18:59:00Z</cp:lastPrinted>
  <dcterms:created xsi:type="dcterms:W3CDTF">2026-08-13T11:04:00Z</dcterms:created>
  <dcterms:modified xsi:type="dcterms:W3CDTF">2026-08-13T14:39:00Z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fb9c9141-492f-3a69-ab37-46c8f90f3d4d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a101c3c2-556c-4757-a625-056968c6ab67</vt:lpwstr>
  </property>
</Properties>
</file>