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387E0FB9" w:rsidR="00676A1B" w:rsidRPr="00645ED0" w:rsidRDefault="00E63052" w:rsidP="00100027">
      <w:pPr>
        <w:tabs>
          <w:tab w:val="right" w:pos="9026"/>
        </w:tabs>
        <w:spacing w:after="0" w:line="240" w:lineRule="auto"/>
        <w:jc w:val="center"/>
        <w:rPr>
          <w:rFonts w:cs="Segoe UI"/>
          <w:b/>
          <w:sz w:val="30"/>
          <w:szCs w:val="30"/>
        </w:rPr>
      </w:pPr>
      <w:r w:rsidRPr="00E63052">
        <w:rPr>
          <w:rFonts w:cs="Segoe UI"/>
          <w:b/>
          <w:bCs/>
          <w:sz w:val="30"/>
          <w:szCs w:val="30"/>
        </w:rPr>
        <w:t>Analisis Yuridis Pertimbangan dan Putusan Hakim dalam Tindak Pidana Penipuan Melalui Media Sosial Berdasarkan Putusan PN Makassar Nomor 1186/Pid.Sus/2023/PN Mks</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1EDF3206" w:rsidR="00AC334E" w:rsidRPr="00886EB8" w:rsidRDefault="00E63052" w:rsidP="00C00D09">
      <w:pPr>
        <w:tabs>
          <w:tab w:val="right" w:pos="9026"/>
        </w:tabs>
        <w:spacing w:after="0" w:line="240" w:lineRule="auto"/>
        <w:rPr>
          <w:rFonts w:cs="Segoe UI"/>
          <w:b/>
          <w:bCs/>
          <w:sz w:val="24"/>
          <w:szCs w:val="24"/>
          <w:lang w:val="fi-FI"/>
        </w:rPr>
      </w:pPr>
      <w:r w:rsidRPr="00E63052">
        <w:rPr>
          <w:rFonts w:cs="Segoe UI"/>
          <w:b/>
          <w:bCs/>
          <w:sz w:val="24"/>
          <w:szCs w:val="24"/>
          <w:lang w:val="fi-FI"/>
        </w:rPr>
        <w:t>Edwin Tandirerung</w:t>
      </w:r>
      <w:r w:rsidR="001E0508">
        <w:rPr>
          <w:rFonts w:cs="Segoe UI"/>
          <w:b/>
          <w:bCs/>
          <w:sz w:val="24"/>
          <w:szCs w:val="24"/>
          <w:vertAlign w:val="superscript"/>
          <w:lang w:val="fi-FI"/>
        </w:rPr>
        <w:t>1</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35E1BE30" w:rsidR="00BE12F5" w:rsidRPr="000A1DEC" w:rsidRDefault="00E63052" w:rsidP="00241D17">
      <w:pPr>
        <w:tabs>
          <w:tab w:val="right" w:pos="9026"/>
        </w:tabs>
        <w:spacing w:after="0" w:line="240" w:lineRule="auto"/>
        <w:rPr>
          <w:rFonts w:cs="Segoe UI"/>
          <w:i/>
          <w:sz w:val="18"/>
          <w:szCs w:val="18"/>
          <w:lang w:val="sv-SE"/>
        </w:rPr>
      </w:pPr>
      <w:r>
        <w:rPr>
          <w:rFonts w:cs="Segoe UI"/>
          <w:i/>
          <w:sz w:val="18"/>
          <w:szCs w:val="18"/>
          <w:lang w:val="sv-SE"/>
        </w:rPr>
        <w:t>edwintandirerung</w:t>
      </w:r>
      <w:r w:rsidR="006F20C0" w:rsidRPr="000A1DEC">
        <w:rPr>
          <w:rFonts w:cs="Segoe UI"/>
          <w:i/>
          <w:sz w:val="18"/>
          <w:szCs w:val="18"/>
          <w:lang w:val="sv-SE"/>
        </w:rPr>
        <w:t>@ukipaulus.ac.id (Korespondensi)*</w:t>
      </w:r>
    </w:p>
    <w:p w14:paraId="57825679" w14:textId="77777777" w:rsidR="006F20C0" w:rsidRPr="000A1DEC"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25BFD1BB" w:rsidR="00417363" w:rsidRDefault="007213FB" w:rsidP="00886EB8">
            <w:pPr>
              <w:spacing w:after="0" w:line="240" w:lineRule="auto"/>
              <w:jc w:val="left"/>
              <w:rPr>
                <w:rFonts w:eastAsia="Times New Roman" w:cs="Segoe UI"/>
                <w:i/>
                <w:iCs/>
                <w:color w:val="181717"/>
                <w:sz w:val="20"/>
                <w:szCs w:val="20"/>
                <w:lang w:val="en-US"/>
              </w:rPr>
            </w:pPr>
            <w:r w:rsidRPr="007213FB">
              <w:rPr>
                <w:rFonts w:eastAsia="Times New Roman" w:cs="Segoe UI"/>
                <w:i/>
                <w:iCs/>
                <w:color w:val="181717"/>
                <w:sz w:val="20"/>
                <w:szCs w:val="20"/>
              </w:rPr>
              <w:t>fraud, social media, judicial considerations, judicial decision, deterrent effect</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591FADDD" w:rsidR="00241D17" w:rsidRPr="00C676AF" w:rsidRDefault="007213FB" w:rsidP="00886EB8">
            <w:pPr>
              <w:spacing w:after="0" w:line="240" w:lineRule="auto"/>
              <w:jc w:val="left"/>
              <w:rPr>
                <w:rFonts w:eastAsia="Times New Roman" w:cs="Segoe UI"/>
                <w:i/>
                <w:color w:val="181717"/>
                <w:sz w:val="20"/>
                <w:szCs w:val="20"/>
              </w:rPr>
            </w:pPr>
            <w:r w:rsidRPr="007213FB">
              <w:rPr>
                <w:rFonts w:eastAsia="Times New Roman" w:cs="Segoe UI"/>
                <w:i/>
                <w:iCs/>
                <w:color w:val="181717"/>
                <w:sz w:val="20"/>
                <w:szCs w:val="20"/>
              </w:rPr>
              <w:t>tindak pidana penipuan, media sosial, pertimbangan hakim, putusan hakim, efek jera</w:t>
            </w:r>
          </w:p>
        </w:tc>
        <w:tc>
          <w:tcPr>
            <w:tcW w:w="3829" w:type="pct"/>
            <w:tcBorders>
              <w:top w:val="single" w:sz="4" w:space="0" w:color="auto"/>
              <w:bottom w:val="single" w:sz="4" w:space="0" w:color="auto"/>
            </w:tcBorders>
          </w:tcPr>
          <w:p w14:paraId="03CCEDFA" w14:textId="7B2075EE"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7213FB" w:rsidRPr="007213FB">
              <w:rPr>
                <w:rFonts w:cs="Segoe UI"/>
                <w:i/>
                <w:iCs/>
                <w:color w:val="000000"/>
                <w:sz w:val="20"/>
                <w:szCs w:val="20"/>
                <w:shd w:val="clear" w:color="auto" w:fill="FFFFFF"/>
              </w:rPr>
              <w:t>This study aims to provide a juridical analysis of the judge’s legal considerations and decision in a criminal case involving fraud through social media based on Makassar District Court Decision Number 1186/Pid.Sus/2023/PN Mks. This study employs normative legal research using a Legal Case Study approach. The research data were obtained through literature research and field research and were analyzed qualitatively using descriptive analysis. The results show that the judge’s legal considerations in the case were based on the applicable legal provisions, the Public Prosecutor’s single indictment, evidence, and facts established during the trial. The judge examined the elements of being a person subject to criminal liability, acting intentionally and without legal authorization, disseminating false and misleading information resulting in consumer losses in electronic transactions, and continuing offenses, ultimately finding the defendant legally and convincingly guilty. In the judgment, the defendant was sentenced to 2 (two) years of imprisonment and a fine of IDR 10,000,000. However, based on the analysis, the sentence was considered disproportionate to the defendant’s conduct and insufficient to provide an optimal deterrent effect for both the perpetrator and society. This assessment also takes into account the substantial losses suffered by the victims. Therefore, sentencing in cases of fraud through social media should proportionately consider the offender’s culpability, the impact on victims, legal certainty, justice, legal utility, and the preventive objectives of criminal punishment.</w:t>
            </w:r>
          </w:p>
          <w:p w14:paraId="078696A2" w14:textId="77777777" w:rsidR="00886EB8" w:rsidRDefault="00886EB8" w:rsidP="001E0508">
            <w:pPr>
              <w:spacing w:after="0" w:line="240" w:lineRule="auto"/>
              <w:rPr>
                <w:rFonts w:eastAsia="Times New Roman" w:cs="Segoe UI"/>
                <w:b/>
                <w:iCs/>
                <w:sz w:val="20"/>
                <w:szCs w:val="20"/>
              </w:rPr>
            </w:pPr>
          </w:p>
          <w:p w14:paraId="514D684B" w14:textId="627B6975"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7213FB" w:rsidRPr="007213FB">
              <w:rPr>
                <w:rFonts w:cs="Segoe UI"/>
                <w:color w:val="000000"/>
                <w:sz w:val="20"/>
                <w:szCs w:val="20"/>
                <w:shd w:val="clear" w:color="auto" w:fill="FFFFFF"/>
              </w:rPr>
              <w:t>Penelitian ini bertujuan untuk menganalisis secara yuridis pertimbangan dan putusan hakim dalam tindak pidana penipuan melalui media sosial berdasarkan Putusan Pengadilan Negeri Makassar Nomor 1186/Pid.Sus/2023/PN Mks. Penelitian ini menggunakan metode penelitian hukum normatif dengan pendekatan studi kasus hukum (</w:t>
            </w:r>
            <w:r w:rsidR="007213FB" w:rsidRPr="007213FB">
              <w:rPr>
                <w:rFonts w:cs="Segoe UI"/>
                <w:i/>
                <w:iCs/>
                <w:color w:val="000000"/>
                <w:sz w:val="20"/>
                <w:szCs w:val="20"/>
                <w:shd w:val="clear" w:color="auto" w:fill="FFFFFF"/>
              </w:rPr>
              <w:t>Legal Case Study</w:t>
            </w:r>
            <w:r w:rsidR="007213FB" w:rsidRPr="007213FB">
              <w:rPr>
                <w:rFonts w:cs="Segoe UI"/>
                <w:color w:val="000000"/>
                <w:sz w:val="20"/>
                <w:szCs w:val="20"/>
                <w:shd w:val="clear" w:color="auto" w:fill="FFFFFF"/>
              </w:rPr>
              <w:t xml:space="preserve">). Data penelitian diperoleh melalui studi kepustakaan dan penelitian lapangan, kemudian dianalisis secara kualitatif dan diuraikan secara deskriptif. Hasil </w:t>
            </w:r>
            <w:r w:rsidR="007213FB" w:rsidRPr="007213FB">
              <w:rPr>
                <w:rFonts w:cs="Segoe UI"/>
                <w:color w:val="000000"/>
                <w:sz w:val="20"/>
                <w:szCs w:val="20"/>
                <w:shd w:val="clear" w:color="auto" w:fill="FFFFFF"/>
              </w:rPr>
              <w:lastRenderedPageBreak/>
              <w:t>penelitian menunjukkan bahwa pertimbangan hukum hakim dalam perkara tersebut telah dilakukan berdasarkan ketentuan hukum yang berlaku, dakwaan tunggal Jaksa Penuntut Umum, alat bukti, serta fakta-fakta yang terungkap dalam persidangan. Hakim mempertimbangkan unsur setiap orang, dengan sengaja dan tanpa hak, menyebarkan berita bohong dan menyesatkan yang mengakibatkan kerugian konsumen dalam transaksi elektronik, serta unsur perbuatan berlanjut, sehingga terdakwa dinyatakan terbukti secara sah dan meyakinkan bersalah. Dari sisi putusan, hakim menjatuhkan pidana penjara selama 2 (dua) tahun dan denda sebesar Rp10.000.000,00. Namun, berdasarkan analisis penelitian, pidana tersebut dinilai belum setimpal dengan perbuatan terdakwa dan belum memberikan efek jera yang optimal bagi pelaku maupun masyarakat. Penilaian tersebut juga mempertimbangkan besarnya kerugian yang dialami para korban. Oleh karena itu, penjatuhan pidana dalam perkara penipuan melalui media sosial perlu mempertimbangkan secara proporsional kesalahan pelaku, dampak terhadap korban, kepastian hukum, keadilan, kemanfaatan, dan tujuan pencegahan tindak pidana.</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624AF86F"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Perkembangan teknologi informasi dan komunikasi telah membawa perubahan besar dalam kehidupan masyarakat. Perkembangan tersebut memungkinkan komunikasi, pertukaran informasi, aktivitas ekonomi, dan berbagai bentuk transaksi dilakukan secara cepat tanpa dibatasi oleh ruang dan waktu. Internet kemudian menjadi bagian penting dalam kehidupan masyarakat, termasuk sebagai sarana interaksi sosial dan transaksi elektronik. Kemajuan tersebut memberikan berbagai kemudahan, tetapi pada saat yang sama juga melahirkan potensi penyalahgunaan teknologi sebagai sarana melakukan kejahatan. </w:t>
      </w:r>
    </w:p>
    <w:p w14:paraId="7129A279"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Perubahan pola interaksi masyarakat dari komunikasi konvensional menuju komunikasi berbasis internet telah melahirkan ruang baru dalam aktivitas sosial dan ekonomi. Media sosial menjadi salah satu sarana yang banyak digunakan masyarakat untuk berkomunikasi, memperoleh informasi, menawarkan barang atau jasa, serta melakukan transaksi. Kemudahan tersebut menjadikan transaksi melalui media sosial semakin berkembang karena dianggap lebih praktis, cepat, dan efisien. Namun, karakter ruang digital yang tidak mengenal batas geografis juga menimbulkan kerentanan terhadap berbagai bentuk kejahatan berbasis teknologi informasi. </w:t>
      </w:r>
    </w:p>
    <w:p w14:paraId="654AE83A"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Salah satu bentuk </w:t>
      </w:r>
      <w:r w:rsidRPr="00E63052">
        <w:rPr>
          <w:rFonts w:ascii="Segoe UI" w:hAnsi="Segoe UI" w:cs="Segoe UI"/>
          <w:i/>
          <w:iCs/>
          <w:sz w:val="22"/>
          <w:szCs w:val="22"/>
          <w:lang w:val="id-ID"/>
        </w:rPr>
        <w:t>cybercrime</w:t>
      </w:r>
      <w:r w:rsidRPr="00E63052">
        <w:rPr>
          <w:rFonts w:ascii="Segoe UI" w:hAnsi="Segoe UI" w:cs="Segoe UI"/>
          <w:sz w:val="22"/>
          <w:szCs w:val="22"/>
          <w:lang w:val="id-ID"/>
        </w:rPr>
        <w:t xml:space="preserve"> yang berkembang seiring dengan meningkatnya penggunaan media sosial adalah tindak pidana penipuan melalui media sosial. Penipuan melalui media sosial pada dasarnya merupakan bentuk penipuan yang memanfaatkan sistem elektronik sebagai sarana melakukan perbuatan. Modus yang digunakan dapat memanfaatkan kemudahan komunikasi dan transaksi elektronik untuk membangun kepercayaan korban, memberikan informasi yang tidak benar, atau mengarahkan korban melakukan transaksi yang pada akhirnya menimbulkan kerugian. Tugas Akhir Edwin menempatkan penipuan melalui media sosial sebagai salah satu bentuk kejahatan yang memanfaatkan perkembangan teknologi informasi untuk memperoleh keuntungan secara melawan hukum. </w:t>
      </w:r>
    </w:p>
    <w:p w14:paraId="05BBE50C"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Perkembangan tindak pidana berbasis media sosial menimbulkan tantangan tersendiri bagi penegakan hukum. Karakteristik tindak pidana yang dilakukan melalui sistem elektronik menyebabkan pembuktian tidak hanya berkaitan dengan perbuatan dan akibat yang ditimbulkan, </w:t>
      </w:r>
      <w:r w:rsidRPr="00E63052">
        <w:rPr>
          <w:rFonts w:ascii="Segoe UI" w:hAnsi="Segoe UI" w:cs="Segoe UI"/>
          <w:sz w:val="22"/>
          <w:szCs w:val="22"/>
          <w:lang w:val="id-ID"/>
        </w:rPr>
        <w:lastRenderedPageBreak/>
        <w:t xml:space="preserve">tetapi juga dengan penggunaan sarana elektronik sebagai media terjadinya tindak pidana. Dalam konteks Indonesia, perkembangan hukum di bidang teknologi informasi ditandai dengan hadirnya Undang-Undang Informasi dan Transaksi Elektronik yang telah mengalami beberapa perubahan, termasuk perubahan kedua melalui Undang-Undang Nomor 1 Tahun 2024. </w:t>
      </w:r>
    </w:p>
    <w:p w14:paraId="144EA706"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Meskipun demikian, Tugas Akhir menunjukkan bahwa penipuan melalui media sosial pada hakikatnya tetap memiliki karakteristik yang berkaitan dengan tindak pidana penipuan secara umum. Unsur perbuatan yang dilakukan melalui media elektronik dapat memiliki keterkaitan dengan konstruksi tindak pidana penipuan sebagaimana dikenal dalam hukum pidana. Dengan demikian, penanganan perkara penipuan melalui media sosial memerlukan analisis yang cermat terhadap hubungan antara perbuatan terdakwa, alat yang digunakan, kerugian yang ditimbulkan, serta ketentuan pidana yang diterapkan. </w:t>
      </w:r>
    </w:p>
    <w:p w14:paraId="286A445C"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Persoalan tersebut menjadi semakin penting ketika suatu perkara telah diperiksa dan diputus oleh pengadilan. Putusan hakim tidak hanya menentukan terbukti atau tidaknya kesalahan terdakwa, tetapi juga mencerminkan penerapan norma hukum terhadap fakta yang terungkap dalam persidangan. Oleh karena itu, pertimbangan hukum hakim mempunyai kedudukan penting dalam memastikan bahwa putusan didasarkan pada fakta persidangan, alat bukti, serta ketentuan hukum yang relevan. Tugas Akhir Edwin secara khusus menempatkan pertimbangan hukum hakim sebagai salah satu fokus utama penelitian. </w:t>
      </w:r>
    </w:p>
    <w:p w14:paraId="0FCD3339"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Dalam penelitian ini, objek yang dikaji adalah Putusan Pengadilan Negeri Makassar Nomor 1186/Pid.Sus/2023/PN Mks. Perkara tersebut berkaitan dengan tindak pidana penipuan melalui media sosial dan diperiksa berdasarkan dakwaan Jaksa Penuntut Umum. Berdasarkan hasil penelitian, hakim mempertimbangkan fakta-fakta yang terungkap dalam persidangan sebelum menyatakan terdakwa terbukti secara sah dan meyakinkan bersalah melakukan tindak pidana sebagaimana yang didakwakan. </w:t>
      </w:r>
    </w:p>
    <w:p w14:paraId="4E32D538"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Dalam putusannya, terdakwa dijatuhi pidana penjara selama 2 (dua) tahun dan denda sebesar Rp10.000.000,00 (sepuluh juta rupiah). Tugas Akhir menyatakan bahwa secara yuridis pertimbangan hukum hakim telah dilakukan berdasarkan ketentuan yang berlaku dan fakta persidangan, sehingga terdakwa dinyatakan terbukti bersalah. Namun, dari perspektif analisis penulis, pidana yang dijatuhkan dinilai belum setimpal dengan perbuatan terdakwa dan belum memberikan efek jera yang optimal bagi pelaku maupun masyarakat pada umumnya. </w:t>
      </w:r>
    </w:p>
    <w:p w14:paraId="0F2A9213"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Perbedaan antara ketepatan pertimbangan hukum hakim dan proporsionalitas putusan pidana tersebut menjadi persoalan yang menarik untuk dianalisis. Pertimbangan hakim dapat dinilai telah memenuhi aspek yuridis apabila didasarkan pada fakta persidangan dan pembuktian yang sah, tetapi putusan tetap dapat dikaji dari sudut keadilan, kepastian hukum, dan kemanfaatan, terutama berkaitan dengan berat-ringannya pidana yang dijatuhkan. Tugas Akhir Edwin sendiri menggunakan teori tujuan hukum yang menempatkan keadilan, kepastian hukum, dan kemanfaatan sebagai unsur penting dalam menilai suatu putusan. </w:t>
      </w:r>
    </w:p>
    <w:p w14:paraId="6F329660"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Dalam konteks tersebut, analisis terhadap putusan hakim tidak semata-mata ditujukan untuk menilai apakah terdakwa terbukti bersalah, tetapi juga untuk melihat bagaimana hakim membangun pertimbangan hukum dan apakah putusan yang dijatuhkan telah mencerminkan tujuan hukum. Penilaian tersebut menjadi penting dalam perkara penipuan melalui media sosial karena penggunaan teknologi sebagai sarana kejahatan menghadirkan karakteristik dan dampak yang perlu diperhatikan dalam proses penegakan hukum.</w:t>
      </w:r>
    </w:p>
    <w:p w14:paraId="02BFD8EA"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Putusan pengadilan juga mempunyai fungsi penting dalam memberikan kepastian hukum dan membentuk standar penegakan hukum terhadap tindak pidana berbasis teknologi. Oleh </w:t>
      </w:r>
      <w:r w:rsidRPr="00E63052">
        <w:rPr>
          <w:rFonts w:ascii="Segoe UI" w:hAnsi="Segoe UI" w:cs="Segoe UI"/>
          <w:sz w:val="22"/>
          <w:szCs w:val="22"/>
          <w:lang w:val="id-ID"/>
        </w:rPr>
        <w:lastRenderedPageBreak/>
        <w:t>karena itu, setiap pertimbangan hukum dalam putusan harus mampu menghubungkan norma hukum dengan fakta konkret yang terbukti di persidangan. Putusan yang demikian diharapkan tidak hanya menyelesaikan perkara individual, tetapi juga memberikan kontribusi terhadap upaya pencegahan dan penanggulangan kejahatan serupa.</w:t>
      </w:r>
    </w:p>
    <w:p w14:paraId="14F13C30"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Berdasarkan uraian tersebut, penelitian ini diarahkan untuk menganalisis pertimbangan hukum hakim dan putusan hakim dalam tindak pidana penipuan melalui media sosial berdasarkan Putusan Pengadilan Negeri Makassar Nomor 1186/Pid.Sus/2023/PN Mks. Fokus tersebut sesuai dengan dua rumusan masalah dalam Tugas Akhir, yaitu analisis terhadap pertimbangan hukum hakim dan analisis yuridis terhadap putusan hakim dalam perkara tersebut. </w:t>
      </w:r>
    </w:p>
    <w:p w14:paraId="059EB33E"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Penelitian ini diharapkan memberikan kontribusi terhadap pengembangan kajian hukum pidana, khususnya mengenai penegakan hukum terhadap tindak pidana penipuan yang dilakukan melalui media sosial. Selain itu, penelitian diharapkan dapat memberikan perspektif mengenai pentingnya pertimbangan hakim yang konsisten dengan fakta persidangan serta pentingnya penjatuhan pidana yang proporsional agar mampu mewujudkan keadilan, kepastian hukum, kemanfaatan, dan efek pencegahan terhadap tindak pidana serupa.</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09463821" w:rsidR="003A41CA" w:rsidRDefault="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Penelitian ini menggunakan penelitian hukum normatif, yaitu penelitian yang berfokus pada pengkajian norma dan ketentuan hukum yang berkaitan dengan tindak pidana penipuan melalui media sosial, khususnya mengenai pertimbangan dan putusan hakim berdasarkan Putusan Pengadilan Negeri Makassar Nomor 1186/Pid.Sus/2023/PN Mks.</w:t>
      </w:r>
    </w:p>
    <w:p w14:paraId="76C48CCC" w14:textId="340DA453" w:rsidR="00E63052" w:rsidRPr="00E63052" w:rsidRDefault="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Pendekatan yang digunakan adalah studi kasus hukum (</w:t>
      </w:r>
      <w:r w:rsidRPr="00E63052">
        <w:rPr>
          <w:rFonts w:ascii="Segoe UI" w:hAnsi="Segoe UI" w:cs="Segoe UI"/>
          <w:i/>
          <w:iCs/>
          <w:sz w:val="22"/>
          <w:szCs w:val="22"/>
          <w:lang w:val="id-ID"/>
        </w:rPr>
        <w:t>Legal Case Study</w:t>
      </w:r>
      <w:r w:rsidRPr="00E63052">
        <w:rPr>
          <w:rFonts w:ascii="Segoe UI" w:hAnsi="Segoe UI" w:cs="Segoe UI"/>
          <w:sz w:val="22"/>
          <w:szCs w:val="22"/>
          <w:lang w:val="id-ID"/>
        </w:rPr>
        <w:t>), yang diarahkan untuk mengkaji dan menganalisis pertimbangan hukum hakim serta putusan dalam perkara tindak pidana penipuan melalui media sosial berdasarkan Putusan Pengadilan Negeri Makassar Nomor 1186/Pid.Sus/2023/PN Mks. Pendekatan ini digunakan untuk menghubungkan ketentuan hukum dengan fakta dan pertimbangan yang terdapat dalam perkara yang menjadi objek penelitian.</w:t>
      </w:r>
    </w:p>
    <w:p w14:paraId="1FDC296A" w14:textId="77777777" w:rsidR="00685B04" w:rsidRPr="005939EF" w:rsidRDefault="00685B04">
      <w:pPr>
        <w:pStyle w:val="IEEEParagraph"/>
        <w:ind w:left="567" w:right="322"/>
        <w:rPr>
          <w:lang w:val="id-ID"/>
        </w:rPr>
      </w:pPr>
    </w:p>
    <w:p w14:paraId="1F34F785" w14:textId="23831DA3" w:rsidR="00685B04" w:rsidRDefault="00000000">
      <w:pPr>
        <w:pStyle w:val="Heading2"/>
        <w:ind w:right="322"/>
        <w:rPr>
          <w:rStyle w:val="mediumtext"/>
        </w:rPr>
      </w:pPr>
      <w:r>
        <w:rPr>
          <w:rStyle w:val="mediumtext"/>
        </w:rPr>
        <w:t>2.</w:t>
      </w:r>
      <w:r w:rsidR="005A6330">
        <w:rPr>
          <w:rStyle w:val="mediumtext"/>
        </w:rPr>
        <w:t>2</w:t>
      </w:r>
      <w:r>
        <w:rPr>
          <w:rStyle w:val="mediumtext"/>
        </w:rPr>
        <w:t xml:space="preserve"> </w:t>
      </w:r>
      <w:r w:rsidR="00E63052" w:rsidRPr="00E63052">
        <w:t>Lokasi Penelitian</w:t>
      </w:r>
    </w:p>
    <w:p w14:paraId="4E086DBA" w14:textId="0ECF68FA" w:rsidR="00685B04" w:rsidRPr="000A1DEC" w:rsidRDefault="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Penelitian dilakukan di Pengadilan Negeri Makassar dengan objek utama berupa Putusan Nomor 1186/Pid.Sus/2023/PN Mks. Pemilihan lokasi tersebut berkaitan langsung dengan perkara yang menjadi objek kajian dan digunakan untuk memperoleh serta menganalisis data yang relevan dengan pertimbangan hukum hakim dalam perkara tindak pidana penipuan melalui media sosial.</w:t>
      </w:r>
    </w:p>
    <w:p w14:paraId="5385C28D" w14:textId="77777777" w:rsidR="00685B04" w:rsidRPr="00865042" w:rsidRDefault="00685B04">
      <w:pPr>
        <w:pStyle w:val="IEEEParagraph"/>
        <w:ind w:left="567" w:right="322"/>
        <w:rPr>
          <w:lang w:val="id-ID"/>
        </w:rPr>
      </w:pPr>
    </w:p>
    <w:p w14:paraId="4D857164" w14:textId="4D4E4AFF" w:rsidR="00685B04" w:rsidRDefault="00000000">
      <w:pPr>
        <w:pStyle w:val="Heading2"/>
        <w:ind w:right="322"/>
        <w:rPr>
          <w:rStyle w:val="mediumtext"/>
        </w:rPr>
      </w:pPr>
      <w:r>
        <w:rPr>
          <w:rStyle w:val="mediumtext"/>
        </w:rPr>
        <w:t>2.</w:t>
      </w:r>
      <w:r w:rsidR="005A6330">
        <w:rPr>
          <w:rStyle w:val="mediumtext"/>
        </w:rPr>
        <w:t>3</w:t>
      </w:r>
      <w:r>
        <w:rPr>
          <w:rStyle w:val="mediumtext"/>
        </w:rPr>
        <w:t xml:space="preserve"> </w:t>
      </w:r>
      <w:r w:rsidR="00E63052">
        <w:t>Jenis dan Sumber Data</w:t>
      </w:r>
    </w:p>
    <w:p w14:paraId="135BDED3" w14:textId="02068E97" w:rsidR="00685B04" w:rsidRPr="000A1DEC" w:rsidRDefault="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Data penelitian terdiri atas data primer dan data sekunder. Data primer diperoleh melalui wawancara langsung dengan pihak yang berkaitan dengan penelitian. Data sekunder diperoleh melalui studi kepustakaan berupa buku, peraturan perundang-undangan, dokumen, dan sumber tertulis lainnya yang mempunyai hubungan dengan permasalahan tindak pidana penipuan melalui media sosial serta putusan yang menjadi objek penelitian.</w:t>
      </w:r>
    </w:p>
    <w:p w14:paraId="019917AF" w14:textId="77777777" w:rsidR="00685B04" w:rsidRPr="00865042" w:rsidRDefault="00685B04">
      <w:pPr>
        <w:pStyle w:val="IEEEParagraph"/>
        <w:ind w:left="567" w:right="322"/>
        <w:rPr>
          <w:lang w:val="id-ID"/>
        </w:rPr>
      </w:pPr>
    </w:p>
    <w:p w14:paraId="692E4666" w14:textId="467C401D" w:rsidR="00685B04" w:rsidRDefault="00000000">
      <w:pPr>
        <w:pStyle w:val="Heading2"/>
        <w:ind w:right="322"/>
        <w:rPr>
          <w:rStyle w:val="mediumtext"/>
        </w:rPr>
      </w:pPr>
      <w:r>
        <w:rPr>
          <w:rStyle w:val="mediumtext"/>
        </w:rPr>
        <w:lastRenderedPageBreak/>
        <w:t>2.</w:t>
      </w:r>
      <w:r w:rsidR="005A6330">
        <w:rPr>
          <w:rStyle w:val="mediumtext"/>
        </w:rPr>
        <w:t>4</w:t>
      </w:r>
      <w:r>
        <w:rPr>
          <w:rStyle w:val="mediumtext"/>
        </w:rPr>
        <w:t xml:space="preserve"> </w:t>
      </w:r>
      <w:r w:rsidR="00E63052">
        <w:rPr>
          <w:rStyle w:val="mediumtext"/>
        </w:rPr>
        <w:t>Teknik Pengumpulan Data</w:t>
      </w:r>
    </w:p>
    <w:p w14:paraId="2F4FAF3E" w14:textId="2BF7D6AC" w:rsidR="00685B04" w:rsidRDefault="00E63052" w:rsidP="00E63052">
      <w:pPr>
        <w:pStyle w:val="IEEEParagraph"/>
        <w:spacing w:after="240"/>
        <w:ind w:left="567" w:right="322" w:firstLine="567"/>
        <w:rPr>
          <w:rFonts w:ascii="Segoe UI" w:hAnsi="Segoe UI" w:cs="Segoe UI"/>
          <w:sz w:val="22"/>
          <w:szCs w:val="22"/>
          <w:lang w:val="id-ID"/>
        </w:rPr>
      </w:pPr>
      <w:r w:rsidRPr="00E63052">
        <w:rPr>
          <w:rFonts w:ascii="Segoe UI" w:hAnsi="Segoe UI" w:cs="Segoe UI"/>
          <w:sz w:val="22"/>
          <w:szCs w:val="22"/>
          <w:lang w:val="id-ID"/>
        </w:rPr>
        <w:t>Pengumpulan data dilakukan melalui penelitian kepustakaan (</w:t>
      </w:r>
      <w:r w:rsidRPr="00E63052">
        <w:rPr>
          <w:rFonts w:ascii="Segoe UI" w:hAnsi="Segoe UI" w:cs="Segoe UI"/>
          <w:i/>
          <w:iCs/>
          <w:sz w:val="22"/>
          <w:szCs w:val="22"/>
          <w:lang w:val="id-ID"/>
        </w:rPr>
        <w:t>library research</w:t>
      </w:r>
      <w:r w:rsidRPr="00E63052">
        <w:rPr>
          <w:rFonts w:ascii="Segoe UI" w:hAnsi="Segoe UI" w:cs="Segoe UI"/>
          <w:sz w:val="22"/>
          <w:szCs w:val="22"/>
          <w:lang w:val="id-ID"/>
        </w:rPr>
        <w:t>) dan penelitian lapangan (</w:t>
      </w:r>
      <w:r w:rsidRPr="00E63052">
        <w:rPr>
          <w:rFonts w:ascii="Segoe UI" w:hAnsi="Segoe UI" w:cs="Segoe UI"/>
          <w:i/>
          <w:iCs/>
          <w:sz w:val="22"/>
          <w:szCs w:val="22"/>
          <w:lang w:val="id-ID"/>
        </w:rPr>
        <w:t>field research</w:t>
      </w:r>
      <w:r w:rsidRPr="00E63052">
        <w:rPr>
          <w:rFonts w:ascii="Segoe UI" w:hAnsi="Segoe UI" w:cs="Segoe UI"/>
          <w:sz w:val="22"/>
          <w:szCs w:val="22"/>
          <w:lang w:val="id-ID"/>
        </w:rPr>
        <w:t>). Penelitian kepustakaan dilakukan dengan mempelajari buku, peraturan perundang-undangan, dan dokumen yang berkaitan dengan objek penelitian. Penelitian lapangan dilakukan melalui pengamatan langsung serta mempelajari dan menganalisis pertimbangan hukum hakim dalam perkara tindak pidana penipuan melalui media sosial.</w:t>
      </w:r>
    </w:p>
    <w:p w14:paraId="27CD4EF9" w14:textId="4F3BAE11" w:rsidR="00E63052" w:rsidRDefault="00E63052" w:rsidP="00E63052">
      <w:pPr>
        <w:pStyle w:val="Heading2"/>
        <w:ind w:right="322"/>
        <w:rPr>
          <w:rFonts w:cs="Segoe UI"/>
          <w:szCs w:val="24"/>
        </w:rPr>
      </w:pPr>
      <w:r w:rsidRPr="00E63052">
        <w:rPr>
          <w:rStyle w:val="mediumtext"/>
          <w:szCs w:val="24"/>
        </w:rPr>
        <w:t>2.</w:t>
      </w:r>
      <w:r w:rsidR="005A6330">
        <w:rPr>
          <w:rStyle w:val="mediumtext"/>
          <w:szCs w:val="24"/>
        </w:rPr>
        <w:t>5</w:t>
      </w:r>
      <w:r w:rsidRPr="00E63052">
        <w:rPr>
          <w:rStyle w:val="mediumtext"/>
          <w:szCs w:val="24"/>
        </w:rPr>
        <w:t xml:space="preserve"> Teknik</w:t>
      </w:r>
      <w:r w:rsidRPr="00E63052">
        <w:rPr>
          <w:rFonts w:cs="Segoe UI"/>
          <w:szCs w:val="24"/>
        </w:rPr>
        <w:t xml:space="preserve"> Analisis Data</w:t>
      </w:r>
    </w:p>
    <w:p w14:paraId="2E01F151" w14:textId="30A9A1AD" w:rsidR="00E63052" w:rsidRDefault="00E63052" w:rsidP="00E63052">
      <w:pPr>
        <w:pStyle w:val="IEEEParagraph"/>
        <w:spacing w:after="240"/>
        <w:ind w:left="567" w:right="322" w:firstLine="567"/>
        <w:rPr>
          <w:rFonts w:ascii="Segoe UI" w:hAnsi="Segoe UI" w:cs="Segoe UI"/>
          <w:sz w:val="22"/>
          <w:szCs w:val="22"/>
          <w:lang w:val="id-ID"/>
        </w:rPr>
      </w:pPr>
      <w:r w:rsidRPr="00E63052">
        <w:rPr>
          <w:rFonts w:ascii="Segoe UI" w:hAnsi="Segoe UI" w:cs="Segoe UI"/>
          <w:sz w:val="22"/>
          <w:szCs w:val="22"/>
          <w:lang w:val="id-ID"/>
        </w:rPr>
        <w:t>Data yang telah diperoleh disusun kemudian dianalisis secara kualitatif dan diuraikan secara deskriptif. Analisis dilakukan dengan menghubungkan data yang relevan dengan ketentuan hukum dan fakta perkara untuk menjawab permasalahan mengenai pertimbangan hukum hakim serta analisis yuridis terhadap putusan hakim dalam Putusan Pengadilan Negeri Makassar Nomor 1186/Pid.Sus/2023/PN Mks. Tugas Akhir secara eksplisit menggunakan analisis kualitatif dengan uraian deskriptif.</w:t>
      </w:r>
    </w:p>
    <w:p w14:paraId="371F3908" w14:textId="4F68DF24" w:rsidR="00E63052" w:rsidRDefault="00E63052" w:rsidP="00E63052">
      <w:pPr>
        <w:pStyle w:val="Heading2"/>
        <w:ind w:right="322"/>
        <w:rPr>
          <w:rFonts w:cs="Segoe UI"/>
          <w:sz w:val="22"/>
          <w:szCs w:val="22"/>
        </w:rPr>
      </w:pPr>
      <w:r>
        <w:rPr>
          <w:rFonts w:cs="Segoe UI"/>
          <w:szCs w:val="24"/>
        </w:rPr>
        <w:t>2.</w:t>
      </w:r>
      <w:r w:rsidR="005A6330">
        <w:rPr>
          <w:rFonts w:cs="Segoe UI"/>
          <w:szCs w:val="24"/>
        </w:rPr>
        <w:t>6</w:t>
      </w:r>
      <w:r>
        <w:rPr>
          <w:rFonts w:cs="Segoe UI"/>
          <w:szCs w:val="24"/>
        </w:rPr>
        <w:t xml:space="preserve"> </w:t>
      </w:r>
      <w:r w:rsidRPr="00E63052">
        <w:rPr>
          <w:rFonts w:cs="Segoe UI"/>
          <w:szCs w:val="24"/>
        </w:rPr>
        <w:t>Batas</w:t>
      </w:r>
      <w:r>
        <w:rPr>
          <w:rFonts w:cs="Segoe UI"/>
          <w:sz w:val="22"/>
          <w:szCs w:val="22"/>
        </w:rPr>
        <w:t xml:space="preserve"> Penelitian</w:t>
      </w:r>
    </w:p>
    <w:p w14:paraId="436B3C41" w14:textId="271C3CC0" w:rsidR="00E63052" w:rsidRPr="00E63052" w:rsidRDefault="00E63052" w:rsidP="00E63052">
      <w:pPr>
        <w:pStyle w:val="IEEEParagraph"/>
        <w:spacing w:after="240"/>
        <w:ind w:left="567" w:right="322" w:firstLine="567"/>
        <w:rPr>
          <w:rFonts w:ascii="Segoe UI" w:hAnsi="Segoe UI" w:cs="Segoe UI"/>
          <w:sz w:val="22"/>
          <w:szCs w:val="22"/>
          <w:lang w:val="id-ID"/>
        </w:rPr>
      </w:pPr>
      <w:r w:rsidRPr="00E63052">
        <w:rPr>
          <w:rFonts w:ascii="Segoe UI" w:hAnsi="Segoe UI" w:cs="Segoe UI"/>
          <w:sz w:val="22"/>
          <w:szCs w:val="22"/>
          <w:lang w:val="id-ID"/>
        </w:rPr>
        <w:t>Penelitian ini dibatasi pada analisis yuridis terhadap pertimbangan hukum dan putusan hakim dalam perkara tindak pidana penipuan melalui media sosial berdasarkan Putusan Pengadilan Negeri Makassar Nomor 1186/Pid.Sus/2023/PN Mks. Pembahasan tidak diarahkan pada seluruh bentuk tindak pidana siber, tetapi difokuskan pada konstruksi hukum, pertimbangan hakim dalam membuktikan tindak pidana, serta analisis terhadap putusan dan pidana yang dijatuhkan dalam perkara tersebut. Batasan ini sejalan dengan dua fokus utama penelitian Edwin.</w:t>
      </w:r>
    </w:p>
    <w:p w14:paraId="1F02A9F4" w14:textId="77777777" w:rsidR="001E0508" w:rsidRPr="001C62FB" w:rsidRDefault="006F0069" w:rsidP="006F0069">
      <w:pPr>
        <w:pStyle w:val="Heading3"/>
        <w:ind w:left="1134" w:hanging="283"/>
      </w:pPr>
      <w:r>
        <w:rPr>
          <w:iCs/>
        </w:rPr>
        <w:t>HASIL DA</w:t>
      </w:r>
      <w:r>
        <w:t>N PEMBAHASAN</w:t>
      </w:r>
    </w:p>
    <w:p w14:paraId="3FC6641F" w14:textId="3C6EAD6B" w:rsidR="00685B04" w:rsidRDefault="00000000">
      <w:pPr>
        <w:pStyle w:val="Heading2"/>
        <w:ind w:right="322"/>
        <w:rPr>
          <w:rStyle w:val="mediumtext"/>
        </w:rPr>
      </w:pPr>
      <w:r>
        <w:rPr>
          <w:rStyle w:val="mediumtext"/>
        </w:rPr>
        <w:t xml:space="preserve">3.1 </w:t>
      </w:r>
      <w:r w:rsidR="00E63052" w:rsidRPr="00E63052">
        <w:t>Pertimbangan Hukum Hakim dalam Tindak Pidana Penipuan Melalui Media Sosial</w:t>
      </w:r>
    </w:p>
    <w:p w14:paraId="1A4C2650"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Pertimbangan hukum hakim atau ratio decidendi merupakan alasan dan dasar pemikiran yang digunakan hakim dalam memutus suatu perkara. Pertimbangan tersebut harus disusun secara sistematis, logis, dan memiliki hubungan dengan alat bukti, pendapat ahli, doktrin, serta fakta-fakta yang terungkap dalam persidangan. Dalam konteks putusan pidana, pertimbangan hakim menjadi bagian penting untuk memastikan bahwa putusan tidak hanya didasarkan pada ketentuan normatif, tetapi juga pada fakta konkret yang telah dibuktikan di persidangan. </w:t>
      </w:r>
    </w:p>
    <w:p w14:paraId="76668E6C"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Dalam perkara Putusan Pengadilan Negeri Makassar Nomor 1186/Pid.Sus/2023/PN Mks, hakim memeriksa perkara berdasarkan dakwaan tunggal Jaksa Penuntut Umum, yaitu Pasal 45A ayat (1) juncto Pasal 28 ayat (1) Undang-Undang Nomor 19 Tahun 2016 tentang Perubahan atas Undang-Undang Nomor 11 Tahun 2008 tentang Informasi dan Transaksi Elektronik juncto Pasal 64 ayat (1) KUHP. Dengan demikian, arah pertimbangan hakim difokuskan pada pembuktian unsur-unsur tindak pidana sebagaimana dirumuskan dalam dakwaan tersebut. </w:t>
      </w:r>
    </w:p>
    <w:p w14:paraId="5772AA63"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Dakwaan tersebut mengandung beberapa unsur yang harus dibuktikan, yaitu unsur setiap orang; unsur dengan sengaja dan tanpa hak; unsur menyebarkan berita bohong dan menyesatkan yang mengakibatkan kerugian konsumen dalam transaksi elektronik; serta unsur perbuatan berlanjut. Hakim kemudian mempertimbangkan unsur-unsur tersebut satu per satu berdasarkan keterangan saksi, keterangan terdakwa, alat bukti, serta fakta hukum yang terungkap selama persidangan. </w:t>
      </w:r>
    </w:p>
    <w:p w14:paraId="64FF7A32"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lastRenderedPageBreak/>
        <w:t xml:space="preserve">Terhadap unsur setiap orang, hakim terlebih dahulu memastikan bahwa subjek yang diperiksa di persidangan merupakan orang yang sama dengan yang tercantum dalam surat dakwaan. Terdakwa hadir dalam persidangan, membenarkan identitasnya sebagaimana tercantum dalam dakwaan, serta mengakui bahwa dirinya adalah orang yang didakwa oleh Jaksa Penuntut Umum. Hakim juga mempertimbangkan kondisi terdakwa dan tidak menemukan keadaan yang dapat menghapus atau mengurangi pertanggungjawaban pidananya. Berdasarkan pertimbangan tersebut, unsur “setiap orang” dinyatakan terpenuhi. </w:t>
      </w:r>
    </w:p>
    <w:p w14:paraId="37FFAF06"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Selanjutnya, hakim mempertimbangkan unsur dengan sengaja dan tanpa hak. Dalam konteks perkara ini, unsur tersebut dikaitkan dengan tindakan terdakwa menggunakan media sosial dan sarana elektronik untuk melakukan perbuatan sebagaimana yang didakwakan. Pertimbangan mengenai kesengajaan tidak berdiri sendiri, tetapi dihubungkan dengan rangkaian tindakan terdakwa, cara perbuatan dilakukan, serta fakta-fakta yang terungkap selama proses pemeriksaan di persidangan.</w:t>
      </w:r>
    </w:p>
    <w:p w14:paraId="66EA515E"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Hakim juga mempertimbangkan unsur menyebarkan berita bohong dan menyesatkan yang mengakibatkan kerugian konsumen dalam transaksi elektronik. Unsur tersebut merupakan inti dari perkara karena berkaitan langsung dengan penggunaan media sosial sebagai sarana melakukan perbuatan yang menimbulkan kerugian. Dalam analisis Tugas Akhir, hakim dinilai telah menghubungkan unsur tersebut dengan fakta persidangan sehingga dapat menyimpulkan bahwa perbuatan terdakwa memenuhi unsur tindak pidana sebagaimana didakwakan. </w:t>
      </w:r>
    </w:p>
    <w:p w14:paraId="46407B55"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Fakta persidangan juga menunjukkan adanya kerugian yang dialami korban. Dalam perkara tersebut, salah satu korban mengalami kerugian sebesar Rp82.950.000,00, sedangkan korban lainnya mengalami kerugian sebesar Rp36.000.000,00. Fakta mengenai kerugian tersebut menjadi bagian penting dalam menilai terpenuhinya unsur akibat kerugian konsumen dalam transaksi elektronik. </w:t>
      </w:r>
    </w:p>
    <w:p w14:paraId="32C85335"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Selain unsur perbuatan, hakim juga mempertimbangkan unsur perbuatan berlanjut sebagaimana dikaitkan dengan Pasal 64 ayat (1) KUHP. Pembuktian unsur tersebut tidak dapat dilepaskan dari rangkaian perbuatan terdakwa yang menjadi satu kesatuan dalam konstruksi dakwaan. Dengan demikian, hakim menilai peristiwa secara keseluruhan berdasarkan fakta yang terbukti dalam persidangan, bukan hanya berdasarkan satu tindakan yang berdiri sendiri. </w:t>
      </w:r>
    </w:p>
    <w:p w14:paraId="4A2CDE3D"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Dalam membangun pertimbangannya, hakim juga harus memperhatikan berbagai aspek keadilan, kepastian hukum, dan kemanfaatan. Tugas Akhir menjelaskan bahwa hakim dalam memutus perkara perlu mempertimbangkan aspek yuridis normatif, aspek filosofis, aspek sosiologis, serta fakta-fakta yang terungkap selama persidangan. Pertimbangan dari berbagai aspek tersebut dimaksudkan agar putusan dapat memberikan keadilan, kepastian hukum, dan kemanfaatan bagi para pihak maupun masyarakat. </w:t>
      </w:r>
    </w:p>
    <w:p w14:paraId="365696AA"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Berdasarkan keseluruhan proses tersebut, hakim pada akhirnya menyatakan bahwa terdakwa terbukti secara sah dan meyakinkan bersalah melakukan tindak pidana penipuan melalui media sosial sebagaimana yang didakwakan oleh Jaksa Penuntut Umum. Kesimpulan tersebut didasarkan pada pembuktian unsur-unsur pasal yang didakwakan dan fakta-fakta hukum yang terungkap di persidangan. Tugas Akhir menilai bahwa dari sisi pertimbangan hukum, hakim telah melakukan penegakan hukum berdasarkan fakta persidangan dan ketentuan yang berlaku. </w:t>
      </w:r>
    </w:p>
    <w:p w14:paraId="32DEBCB1"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Dengan demikian, pertimbangan hukum hakim dalam Putusan PN Makassar Nomor 1186/Pid.Sus/2023/PN Mks dapat dinilai telah diarahkan secara tepat kepada dakwaan tunggal Jaksa Penuntut Umum dan pembuktian setiap unsur tindak pidana. Hakim tidak hanya mempertimbangkan norma yang didakwakan, tetapi juga menghubungkannya dengan identitas </w:t>
      </w:r>
      <w:r w:rsidRPr="00E63052">
        <w:rPr>
          <w:rFonts w:ascii="Segoe UI" w:hAnsi="Segoe UI" w:cs="Segoe UI"/>
          <w:sz w:val="22"/>
          <w:szCs w:val="22"/>
          <w:lang w:val="id-ID"/>
        </w:rPr>
        <w:lastRenderedPageBreak/>
        <w:t xml:space="preserve">terdakwa, alat bukti, keterangan para pihak, kerugian korban, dan fakta hukum yang terungkap selama persidangan. </w:t>
      </w:r>
    </w:p>
    <w:p w14:paraId="25F9B056"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Namun, perlu dibedakan antara ketepatan pertimbangan dalam menyatakan terdakwa terbukti bersalah dengan penilaian terhadap pidana yang kemudian dijatuhkan. Berdasarkan Tugas Akhir, aspek pertimbangan hukum dinilai telah sesuai dengan ketentuan yang berlaku, sedangkan persoalan mengenai apakah pidana yang dijatuhkan telah proporsional dan mampu memberikan efek jera menjadi bagian dari analisis yuridis terhadap putusan yang akan dibahas pada 3.2. </w:t>
      </w:r>
    </w:p>
    <w:p w14:paraId="76EEAB81"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Dengan demikian, hasil penelitian pada bagian ini menunjukkan bahwa ratio decidendi hakim telah dibangun berdasarkan dakwaan, pembuktian unsur-unsur tindak pidana, dan fakta-fakta persidangan, sehingga terdakwa dinyatakan terbukti secara sah dan meyakinkan bersalah melakukan tindak pidana penipuan melalui media sosial. </w:t>
      </w:r>
    </w:p>
    <w:p w14:paraId="4707B302" w14:textId="44D85A08" w:rsidR="00685B04" w:rsidRDefault="00000000">
      <w:pPr>
        <w:pStyle w:val="Heading2"/>
        <w:ind w:right="322"/>
        <w:rPr>
          <w:rStyle w:val="mediumtext"/>
        </w:rPr>
      </w:pPr>
      <w:r>
        <w:rPr>
          <w:rStyle w:val="mediumtext"/>
        </w:rPr>
        <w:t xml:space="preserve">3.2 </w:t>
      </w:r>
      <w:r w:rsidR="00E63052" w:rsidRPr="00E63052">
        <w:t>Analisis Yuridis Putusan Hakim dalam Tindak Pidana Penipuan Melalui Media Sosial</w:t>
      </w:r>
    </w:p>
    <w:p w14:paraId="3F6DEAF0"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Putusan hakim merupakan tahap akhir dari proses pemeriksaan perkara pidana yang menentukan konsekuensi hukum terhadap terdakwa. Oleh karena itu, putusan tidak hanya harus didasarkan pada pembuktian kesalahan terdakwa, tetapi juga harus memperhatikan aspek keadilan, kepastian hukum, dan kemanfaatan. Tugas Akhir Edwin menempatkan ketiga aspek tersebut sebagai bagian penting dalam menilai kualitas putusan hakim. </w:t>
      </w:r>
    </w:p>
    <w:p w14:paraId="76DAC815"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Dalam perkara Nomor 1186/Pid.Sus/2023/PN Mks, majelis hakim menyatakan terdakwa terbukti secara sah dan meyakinkan bersalah melakukan tindak pidana dengan sengaja dan tanpa hak menyebarkan berita bohong dan menyesatkan yang mengakibatkan kerugian konsumen dalam transaksi elektronik sebagaimana didakwakan oleh Jaksa Penuntut Umum. Dakwaan tersebut berbentuk tunggal dan didasarkan pada Pasal 45A ayat (1) juncto Pasal 28 ayat (1) UU ITE sebagaimana dirumuskan dalam perkara, juncto Pasal 64 ayat (1) KUHP. </w:t>
      </w:r>
    </w:p>
    <w:p w14:paraId="423AD819"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Dari perspektif yuridis, putusan tersebut memiliki dasar pembuktian karena hakim telah menguji unsur-unsur tindak pidana yang didakwakan serta menghubungkannya dengan fakta-fakta yang terungkap dalam persidangan. Tugas Akhir secara tegas menilai bahwa pertimbangan hakim telah dilakukan sesuai ketentuan yang berlaku dan berdasarkan fakta persidangan sehingga terdakwa dapat dinyatakan terbukti bersalah. </w:t>
      </w:r>
    </w:p>
    <w:p w14:paraId="66810455"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Aspek penting selanjutnya adalah pidana yang dijatuhkan. Berdasarkan analisis Tugas Akhir, terdakwa dijatuhi pidana penjara selama 2 (dua) tahun dan denda sebesar Rp10.000.000,00 (sepuluh juta rupiah). Selain itu, terdakwa juga dibebani biaya perkara sebesar Rp5.000,00 sebagaimana tercantum dalam amar putusan. </w:t>
      </w:r>
    </w:p>
    <w:p w14:paraId="7E901521"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Penjatuhan pidana tersebut dapat dipandang telah memenuhi konsekuensi hukum atas terbuktinya tindak pidana, tetapi dari perspektif proporsionalitas pemidanaan Tugas Akhir memberikan penilaian kritis. Menurut penulis Tugas Akhir, pidana penjara selama dua tahun dan denda Rp10 juta belum setimpal dengan perbuatan terdakwa serta belum memberikan efek jera yang memadai bagi pelaku maupun masyarakat. </w:t>
      </w:r>
    </w:p>
    <w:p w14:paraId="78879489"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Penilaian tersebut menjadi relevan apabila dikaitkan dengan dampak kerugian yang timbul akibat perbuatan terdakwa. Dalam perkara tersebut, terdapat korban yang mengalami kerugian sebesar Rp82.950.000,00 dan korban lainnya mengalami kerugian sebesar Rp36.000.000,00. Dengan demikian, nilai kerugian yang tercatat dalam perkara secara material jauh lebih besar daripada besaran denda yang dijatuhkan. </w:t>
      </w:r>
    </w:p>
    <w:p w14:paraId="045A4E39"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lastRenderedPageBreak/>
        <w:t>Dari perspektif keadilan, pidana idealnya tidak hanya mempertimbangkan kesalahan pelaku, tetapi juga mempertimbangkan akibat perbuatan terhadap korban dan kepentingan masyarakat. Dalam Tugas Akhir dijelaskan bahwa keadilan merupakan salah satu tujuan utama hukum dan bahwa putusan hakim idealnya mengakomodasi keadilan, kepastian hukum, dan kemanfaatan secara bersamaan. Dengan demikian, ketika kerugian korban cukup signifikan, proporsionalitas antara perbuatan, akibat, dan sanksi menjadi salah satu aspek yang layak dievaluasi.</w:t>
      </w:r>
    </w:p>
    <w:p w14:paraId="17779D54"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Dari perspektif kepastian hukum, putusan tersebut telah memberikan kepastian mengenai status hukum terdakwa karena majelis menyatakan terdakwa terbukti bersalah berdasarkan unsur-unsur tindak pidana yang didakwakan. Hal ini sejalan dengan kesimpulan Tugas Akhir yang menilai bahwa pertimbangan hakim telah dilakukan berdasarkan ketentuan hukum dan fakta-fakta persidangan. </w:t>
      </w:r>
    </w:p>
    <w:p w14:paraId="62DB50F7"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Namun, dari perspektif kemanfaatan dan efek pencegahan, Tugas Akhir menilai bahwa pidana yang dijatuhkan belum optimal. Kejahatan melalui media sosial memiliki karakter yang memungkinkan perbuatan dilakukan dengan relatif mudah dan dapat menimbulkan kerugian terhadap lebih dari satu korban. Oleh karena itu, pemidanaan tidak hanya perlu memberikan konsekuensi terhadap pelaku, tetapi juga diharapkan mempunyai fungsi pencegahan agar masyarakat memahami adanya konsekuensi serius terhadap penyalahgunaan media sosial untuk melakukan kejahatan. </w:t>
      </w:r>
    </w:p>
    <w:p w14:paraId="12BE0F71"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Dengan demikian, terdapat perbedaan antara ketepatan putusan dari sisi pembuktian dan optimalitas putusan dari sisi pemidanaan. Dari sisi pertama, putusan memiliki dasar yang kuat karena terdakwa telah dinyatakan terbukti secara sah dan meyakinkan melalui proses pembuktian di persidangan. Dari sisi kedua, Tugas Akhir menilai bahwa pidana dua tahun penjara dan denda Rp10 juta belum mencerminkan beratnya akibat perbuatan dan belum menghasilkan efek jera yang memadai. </w:t>
      </w:r>
    </w:p>
    <w:p w14:paraId="20631142"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Analisis tersebut menunjukkan bahwa kualitas suatu putusan tidak semata-mata ditentukan oleh benar atau tidaknya hakim menyatakan terdakwa bersalah. Putusan juga perlu dilihat dari kesesuaian antara jenis dan berat pidana dengan perbuatan, akibat yang ditimbulkan, serta tujuan pemidanaan. Dalam perkara ini, penilaian kritis terhadap berat pidana merupakan bagian dari upaya melihat apakah putusan telah mencapai keseimbangan antara kepastian hukum, keadilan, dan kemanfaatan.</w:t>
      </w:r>
    </w:p>
    <w:p w14:paraId="1399D517"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Berdasarkan hasil analisis, putusan PN Makassar Nomor 1186/Pid.Sus/2023/PN Mks telah memberikan kepastian hukum mengenai pertanggungjawaban pidana terdakwa, karena terdakwa dinyatakan terbukti bersalah berdasarkan pembuktian terhadap dakwaan. Namun, dari perspektif keadilan dan kemanfaatan, Tugas Akhir menilai pidana yang dijatuhkan masih relatif ringan dibandingkan dengan dampak kerugian yang ditimbulkan dan kebutuhan memberikan efek jera. </w:t>
      </w:r>
    </w:p>
    <w:p w14:paraId="0F908B1B"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Oleh karena itu, secara yuridis putusan tersebut dapat dinilai benar dalam menetapkan kesalahan terdakwa, tetapi masih dapat dikritisi dari aspek proporsionalitas pemidanaan. Penilaian tersebut tidak berarti mengesampingkan kewenangan hakim dalam menentukan pidana, melainkan menunjukkan perlunya memastikan bahwa pemidanaan mampu merefleksikan keseimbangan antara kesalahan, akibat tindak pidana, kepentingan korban, dan kepentingan masyarakat.</w:t>
      </w:r>
    </w:p>
    <w:p w14:paraId="373543AE"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 xml:space="preserve">Dengan demikian, analisis yuridis terhadap Putusan PN Makassar Nomor 1186/Pid.Sus/2023/PN Mks menunjukkan bahwa putusan telah memenuhi aspek kepastian hukum dalam menyatakan terdakwa terbukti bersalah, tetapi pidana penjara 2 tahun dan denda Rp10 juta dinilai belum optimal dari perspektif efek jera dan kemanfaatan hukum. Temuan tersebut </w:t>
      </w:r>
      <w:r w:rsidRPr="00E63052">
        <w:rPr>
          <w:rFonts w:ascii="Segoe UI" w:hAnsi="Segoe UI" w:cs="Segoe UI"/>
          <w:sz w:val="22"/>
          <w:szCs w:val="22"/>
          <w:lang w:val="id-ID"/>
        </w:rPr>
        <w:lastRenderedPageBreak/>
        <w:t>konsisten dengan kesimpulan Tugas Akhir yang merekomendasikan adanya sanksi yang lebih memberikan efek jera terhadap pelaku penipuan melalui media sosial serta peningkatan sosialisasi mengenai bahaya dan konsekuensi hukum tindak pidana tersebut.</w:t>
      </w:r>
    </w:p>
    <w:p w14:paraId="1DDB275D" w14:textId="77777777" w:rsidR="001E0508" w:rsidRPr="00EA7E75" w:rsidRDefault="00985560" w:rsidP="00985560">
      <w:pPr>
        <w:pStyle w:val="Heading3"/>
        <w:ind w:left="993" w:hanging="426"/>
      </w:pPr>
      <w:r>
        <w:t>KESIMPULAN</w:t>
      </w:r>
    </w:p>
    <w:p w14:paraId="0B7B3C01"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Berdasarkan hasil penelitian dan pembahasan mengenai Analisis Yuridis Pertimbangan dan Putusan Hakim dalam Tindak Pidana Penipuan Melalui Media Sosial Berdasarkan Putusan PN Makassar Nomor 1186/Pid.Sus/2023/PN Mks, dapat disimpulkan bahwa:</w:t>
      </w:r>
    </w:p>
    <w:p w14:paraId="11B9AB29" w14:textId="77777777" w:rsidR="00E63052" w:rsidRPr="00E63052" w:rsidRDefault="00E63052" w:rsidP="00E63052">
      <w:pPr>
        <w:pStyle w:val="IEEEParagraph"/>
        <w:numPr>
          <w:ilvl w:val="0"/>
          <w:numId w:val="7"/>
        </w:numPr>
        <w:ind w:right="322"/>
        <w:rPr>
          <w:rFonts w:ascii="Segoe UI" w:hAnsi="Segoe UI" w:cs="Segoe UI"/>
          <w:sz w:val="22"/>
          <w:szCs w:val="22"/>
          <w:lang w:val="id-ID"/>
        </w:rPr>
      </w:pPr>
      <w:r w:rsidRPr="00E63052">
        <w:rPr>
          <w:rFonts w:ascii="Segoe UI" w:hAnsi="Segoe UI" w:cs="Segoe UI"/>
          <w:sz w:val="22"/>
          <w:szCs w:val="22"/>
          <w:lang w:val="id-ID"/>
        </w:rPr>
        <w:t xml:space="preserve">Pertimbangan hukum hakim dalam Putusan Pengadilan Negeri Makassar Nomor 1186/Pid.Sus/2023/PN Mks telah dilakukan berdasarkan ketentuan hukum yang berlaku, dakwaan tunggal Jaksa Penuntut Umum, alat bukti, serta fakta-fakta yang terungkap dalam persidangan. Hakim mempertimbangkan unsur “setiap orang”, “dengan sengaja dan tanpa hak”, “menyebarkan berita bohong dan menyesatkan yang mengakibatkan kerugian konsumen dalam transaksi elektronik”, serta “perbuatan berlanjut” dan menyatakan seluruh unsur tersebut terpenuhi, sehingga terdakwa dinyatakan terbukti secara sah dan meyakinkan bersalah melakukan tindak pidana sebagaimana didakwakan. </w:t>
      </w:r>
    </w:p>
    <w:p w14:paraId="1AE81199" w14:textId="77777777" w:rsidR="00E63052" w:rsidRPr="00E63052" w:rsidRDefault="00E63052" w:rsidP="00E63052">
      <w:pPr>
        <w:pStyle w:val="IEEEParagraph"/>
        <w:numPr>
          <w:ilvl w:val="0"/>
          <w:numId w:val="7"/>
        </w:numPr>
        <w:ind w:right="322"/>
        <w:rPr>
          <w:rFonts w:ascii="Segoe UI" w:hAnsi="Segoe UI" w:cs="Segoe UI"/>
          <w:sz w:val="22"/>
          <w:szCs w:val="22"/>
          <w:lang w:val="id-ID"/>
        </w:rPr>
      </w:pPr>
      <w:r w:rsidRPr="00E63052">
        <w:rPr>
          <w:rFonts w:ascii="Segoe UI" w:hAnsi="Segoe UI" w:cs="Segoe UI"/>
          <w:sz w:val="22"/>
          <w:szCs w:val="22"/>
          <w:lang w:val="id-ID"/>
        </w:rPr>
        <w:t xml:space="preserve">Putusan hakim yang menjatuhkan pidana penjara selama 2 (dua) tahun dan denda sebesar Rp10.000.000,00 telah memberikan kepastian hukum terhadap pertanggungjawaban pidana terdakwa. Namun, berdasarkan analisis Tugas Akhir, pidana tersebut dinilai belum setimpal dengan perbuatan terdakwa dan belum memberikan efek jera yang optimal bagi pelaku maupun masyarakat. Penilaian tersebut antara lain berkaitan dengan kerugian korban yang cukup besar, yakni masing-masing sebesar Rp82.950.000,00 dan Rp36.000.000,00. </w:t>
      </w:r>
    </w:p>
    <w:p w14:paraId="53F7DBEB" w14:textId="77777777" w:rsidR="00E63052" w:rsidRPr="00E63052" w:rsidRDefault="00E63052" w:rsidP="00E63052">
      <w:pPr>
        <w:pStyle w:val="IEEEParagraph"/>
        <w:ind w:left="567" w:right="322" w:firstLine="567"/>
        <w:rPr>
          <w:rFonts w:ascii="Segoe UI" w:hAnsi="Segoe UI" w:cs="Segoe UI"/>
          <w:sz w:val="22"/>
          <w:szCs w:val="22"/>
          <w:lang w:val="id-ID"/>
        </w:rPr>
      </w:pPr>
      <w:r w:rsidRPr="00E63052">
        <w:rPr>
          <w:rFonts w:ascii="Segoe UI" w:hAnsi="Segoe UI" w:cs="Segoe UI"/>
          <w:sz w:val="22"/>
          <w:szCs w:val="22"/>
          <w:lang w:val="id-ID"/>
        </w:rPr>
        <w:t>Dengan demikian, Putusan PN Makassar Nomor 1186/Pid.Sus/2023/PN Mks telah memenuhi aspek kepastian hukum dalam pembuktian kesalahan terdakwa, tetapi masih dapat dikritisi dari aspek proporsionalitas pemidanaan, keadilan, kemanfaatan, dan efek jera. Penjatuhan pidana dalam perkara penipuan melalui media sosial perlu mempertimbangkan secara seimbang kesalahan terdakwa, akibat yang ditimbulkan, kerugian korban, dan kepentingan masyarakat agar tujuan pemidanaan dapat tercapai secara optimal. Kesimpulan ini sejalan dengan Tugas Akhir yang menilai perlunya sanksi yang lebih memberikan efek jera terhadap pelaku penipuan melalui media sosial.</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14:paraId="0251AF9E"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t xml:space="preserve">Adami Chazawi. (2011). </w:t>
      </w:r>
      <w:r w:rsidRPr="00F75287">
        <w:rPr>
          <w:rFonts w:cs="Segoe UI"/>
          <w:i/>
          <w:iCs/>
          <w:sz w:val="20"/>
          <w:szCs w:val="20"/>
          <w:lang w:val="sv-SE"/>
        </w:rPr>
        <w:t>Pelajaran Hukum Pidana Bagian 1</w:t>
      </w:r>
      <w:r w:rsidRPr="00F75287">
        <w:rPr>
          <w:rFonts w:cs="Segoe UI"/>
          <w:sz w:val="20"/>
          <w:szCs w:val="20"/>
          <w:lang w:val="sv-SE"/>
        </w:rPr>
        <w:t>. Jakarta: RajaGrafindo Persada.</w:t>
      </w:r>
    </w:p>
    <w:p w14:paraId="12CAF992"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t xml:space="preserve">Andi Hamzah. (2008). </w:t>
      </w:r>
      <w:r w:rsidRPr="00F75287">
        <w:rPr>
          <w:rFonts w:cs="Segoe UI"/>
          <w:i/>
          <w:iCs/>
          <w:sz w:val="20"/>
          <w:szCs w:val="20"/>
          <w:lang w:val="sv-SE"/>
        </w:rPr>
        <w:t>Asas-Asas Hukum Pidana</w:t>
      </w:r>
      <w:r w:rsidRPr="00F75287">
        <w:rPr>
          <w:rFonts w:cs="Segoe UI"/>
          <w:sz w:val="20"/>
          <w:szCs w:val="20"/>
          <w:lang w:val="sv-SE"/>
        </w:rPr>
        <w:t>. Jakarta: Rineka Cipta.</w:t>
      </w:r>
    </w:p>
    <w:p w14:paraId="0FD52039"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t xml:space="preserve">Amir Ilyas. (2012). </w:t>
      </w:r>
      <w:r w:rsidRPr="00F75287">
        <w:rPr>
          <w:rFonts w:cs="Segoe UI"/>
          <w:i/>
          <w:iCs/>
          <w:sz w:val="20"/>
          <w:szCs w:val="20"/>
          <w:lang w:val="sv-SE"/>
        </w:rPr>
        <w:t>Asas-Asas Hukum Pidana</w:t>
      </w:r>
      <w:r w:rsidRPr="00F75287">
        <w:rPr>
          <w:rFonts w:cs="Segoe UI"/>
          <w:sz w:val="20"/>
          <w:szCs w:val="20"/>
          <w:lang w:val="sv-SE"/>
        </w:rPr>
        <w:t>. Yogyakarta: Rangkang Education.</w:t>
      </w:r>
    </w:p>
    <w:p w14:paraId="7E41EE70"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t xml:space="preserve">Acmad Sadiki. (2005). </w:t>
      </w:r>
      <w:r w:rsidRPr="00F75287">
        <w:rPr>
          <w:rFonts w:cs="Segoe UI"/>
          <w:i/>
          <w:iCs/>
          <w:sz w:val="20"/>
          <w:szCs w:val="20"/>
          <w:lang w:val="sv-SE"/>
        </w:rPr>
        <w:t>Kejahatan Mayantara (Cyber Crime)</w:t>
      </w:r>
      <w:r w:rsidRPr="00F75287">
        <w:rPr>
          <w:rFonts w:cs="Segoe UI"/>
          <w:sz w:val="20"/>
          <w:szCs w:val="20"/>
          <w:lang w:val="sv-SE"/>
        </w:rPr>
        <w:t>. Bandung: Refika Aditama.</w:t>
      </w:r>
    </w:p>
    <w:p w14:paraId="426546AF"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t xml:space="preserve">Barda Nawawi Arief. (2007). </w:t>
      </w:r>
      <w:r w:rsidRPr="00F75287">
        <w:rPr>
          <w:rFonts w:cs="Segoe UI"/>
          <w:i/>
          <w:iCs/>
          <w:sz w:val="20"/>
          <w:szCs w:val="20"/>
          <w:lang w:val="sv-SE"/>
        </w:rPr>
        <w:t>Tindak Pidana Mayantara: Perkembangan Kajian Cyber Crime di Indonesia</w:t>
      </w:r>
      <w:r w:rsidRPr="00F75287">
        <w:rPr>
          <w:rFonts w:cs="Segoe UI"/>
          <w:sz w:val="20"/>
          <w:szCs w:val="20"/>
          <w:lang w:val="sv-SE"/>
        </w:rPr>
        <w:t>. Jakarta: RajaGrafindo Persada.</w:t>
      </w:r>
    </w:p>
    <w:p w14:paraId="42557520"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t xml:space="preserve">Maskun. (2013). </w:t>
      </w:r>
      <w:r w:rsidRPr="00F75287">
        <w:rPr>
          <w:rFonts w:cs="Segoe UI"/>
          <w:i/>
          <w:iCs/>
          <w:sz w:val="20"/>
          <w:szCs w:val="20"/>
          <w:lang w:val="sv-SE"/>
        </w:rPr>
        <w:t>Kejahatan Siber (Cyber Crime): Suatu Pengantar</w:t>
      </w:r>
      <w:r w:rsidRPr="00F75287">
        <w:rPr>
          <w:rFonts w:cs="Segoe UI"/>
          <w:sz w:val="20"/>
          <w:szCs w:val="20"/>
          <w:lang w:val="sv-SE"/>
        </w:rPr>
        <w:t>. Jakarta: Kencana Prenada Media Group.</w:t>
      </w:r>
    </w:p>
    <w:p w14:paraId="637B2663"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t xml:space="preserve">Josua Sitompul. (2012). </w:t>
      </w:r>
      <w:r w:rsidRPr="00F75287">
        <w:rPr>
          <w:rFonts w:cs="Segoe UI"/>
          <w:i/>
          <w:iCs/>
          <w:sz w:val="20"/>
          <w:szCs w:val="20"/>
          <w:lang w:val="sv-SE"/>
        </w:rPr>
        <w:t>Cyberspace, Cybercrimes, Cyberlaw: Tinjauan Aspek Hukum Pidana</w:t>
      </w:r>
      <w:r w:rsidRPr="00F75287">
        <w:rPr>
          <w:rFonts w:cs="Segoe UI"/>
          <w:sz w:val="20"/>
          <w:szCs w:val="20"/>
          <w:lang w:val="sv-SE"/>
        </w:rPr>
        <w:t>. Jakarta: Tatanusa.</w:t>
      </w:r>
    </w:p>
    <w:p w14:paraId="067C9509"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t xml:space="preserve">Widodo. (2011). </w:t>
      </w:r>
      <w:r w:rsidRPr="00F75287">
        <w:rPr>
          <w:rFonts w:cs="Segoe UI"/>
          <w:i/>
          <w:iCs/>
          <w:sz w:val="20"/>
          <w:szCs w:val="20"/>
          <w:lang w:val="sv-SE"/>
        </w:rPr>
        <w:t>Hukum Pidana di Bidang Teknologi Informasi (Cybercrime Law): Telaah Teoritik dan Bedah Kasus</w:t>
      </w:r>
      <w:r w:rsidRPr="00F75287">
        <w:rPr>
          <w:rFonts w:cs="Segoe UI"/>
          <w:sz w:val="20"/>
          <w:szCs w:val="20"/>
          <w:lang w:val="sv-SE"/>
        </w:rPr>
        <w:t>. Yogyakarta: Aswaja Presindo.</w:t>
      </w:r>
    </w:p>
    <w:p w14:paraId="746E316A"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lastRenderedPageBreak/>
        <w:t xml:space="preserve">Lilik Mulyadi. (2009). </w:t>
      </w:r>
      <w:r w:rsidRPr="00F75287">
        <w:rPr>
          <w:rFonts w:cs="Segoe UI"/>
          <w:i/>
          <w:iCs/>
          <w:sz w:val="20"/>
          <w:szCs w:val="20"/>
          <w:lang w:val="sv-SE"/>
        </w:rPr>
        <w:t>Pergeseran Perspektif dan Praktik dari Mahkamah Agung Mengenai Putusan</w:t>
      </w:r>
      <w:r w:rsidRPr="00F75287">
        <w:rPr>
          <w:rFonts w:cs="Segoe UI"/>
          <w:sz w:val="20"/>
          <w:szCs w:val="20"/>
          <w:lang w:val="sv-SE"/>
        </w:rPr>
        <w:t>. Bandung: Citra Aditya Bakti.</w:t>
      </w:r>
    </w:p>
    <w:p w14:paraId="426AA3B9"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t xml:space="preserve">Achmad Ali. (2012). </w:t>
      </w:r>
      <w:r w:rsidRPr="00F75287">
        <w:rPr>
          <w:rFonts w:cs="Segoe UI"/>
          <w:i/>
          <w:iCs/>
          <w:sz w:val="20"/>
          <w:szCs w:val="20"/>
          <w:lang w:val="sv-SE"/>
        </w:rPr>
        <w:t>Menguak Teori Hukum (Legal Theory) dan Teori Peradilan (Judicialprudence), Termasuk Interpretasi Undang-Undang (Legisprudence)</w:t>
      </w:r>
      <w:r w:rsidRPr="00F75287">
        <w:rPr>
          <w:rFonts w:cs="Segoe UI"/>
          <w:sz w:val="20"/>
          <w:szCs w:val="20"/>
          <w:lang w:val="sv-SE"/>
        </w:rPr>
        <w:t>. Jakarta: Kencana Prenada Media Group.</w:t>
      </w:r>
    </w:p>
    <w:p w14:paraId="1017BF8F"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t xml:space="preserve">Nurul Qamar. (2013). </w:t>
      </w:r>
      <w:r w:rsidRPr="00F75287">
        <w:rPr>
          <w:rFonts w:cs="Segoe UI"/>
          <w:i/>
          <w:iCs/>
          <w:sz w:val="20"/>
          <w:szCs w:val="20"/>
          <w:lang w:val="sv-SE"/>
        </w:rPr>
        <w:t>Hak Asasi Manusia dalam Negara Hukum Demokrasi</w:t>
      </w:r>
      <w:r w:rsidRPr="00F75287">
        <w:rPr>
          <w:rFonts w:cs="Segoe UI"/>
          <w:sz w:val="20"/>
          <w:szCs w:val="20"/>
          <w:lang w:val="sv-SE"/>
        </w:rPr>
        <w:t>. Jakarta: Sinar Grafika.</w:t>
      </w:r>
    </w:p>
    <w:p w14:paraId="7A1C9222"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t xml:space="preserve">Peter Mahmud Marzuki. (2008). </w:t>
      </w:r>
      <w:r w:rsidRPr="00F75287">
        <w:rPr>
          <w:rFonts w:cs="Segoe UI"/>
          <w:i/>
          <w:iCs/>
          <w:sz w:val="20"/>
          <w:szCs w:val="20"/>
          <w:lang w:val="sv-SE"/>
        </w:rPr>
        <w:t>Pengantar Ilmu Hukum</w:t>
      </w:r>
      <w:r w:rsidRPr="00F75287">
        <w:rPr>
          <w:rFonts w:cs="Segoe UI"/>
          <w:sz w:val="20"/>
          <w:szCs w:val="20"/>
          <w:lang w:val="sv-SE"/>
        </w:rPr>
        <w:t>. Jakarta: Kencana Prenada Media Group.</w:t>
      </w:r>
    </w:p>
    <w:p w14:paraId="06A5B187"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75287">
        <w:rPr>
          <w:rFonts w:cs="Segoe UI"/>
          <w:sz w:val="20"/>
          <w:szCs w:val="20"/>
          <w:lang w:val="sv-SE"/>
        </w:rPr>
        <w:t xml:space="preserve">Elza Syarief, dkk. (2015). “Analisis terhadap Tindak Pidana Penipuan pada Transaksi Jual-Beli Online di Kota Batam.” </w:t>
      </w:r>
      <w:r w:rsidRPr="00F75287">
        <w:rPr>
          <w:rFonts w:cs="Segoe UI"/>
          <w:i/>
          <w:iCs/>
          <w:sz w:val="20"/>
          <w:szCs w:val="20"/>
          <w:lang w:val="en-ID"/>
        </w:rPr>
        <w:t>Journal of Judicial Review</w:t>
      </w:r>
      <w:r w:rsidRPr="00F75287">
        <w:rPr>
          <w:rFonts w:cs="Segoe UI"/>
          <w:sz w:val="20"/>
          <w:szCs w:val="20"/>
          <w:lang w:val="en-ID"/>
        </w:rPr>
        <w:t xml:space="preserve">, Vol. XVII, No. 1. </w:t>
      </w:r>
    </w:p>
    <w:p w14:paraId="7244A51A"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75287">
        <w:rPr>
          <w:rFonts w:cs="Segoe UI"/>
          <w:sz w:val="20"/>
          <w:szCs w:val="20"/>
          <w:lang w:val="en-ID"/>
        </w:rPr>
        <w:t xml:space="preserve">Republik Indonesia. </w:t>
      </w:r>
      <w:r w:rsidRPr="00F75287">
        <w:rPr>
          <w:rFonts w:cs="Segoe UI"/>
          <w:i/>
          <w:iCs/>
          <w:sz w:val="20"/>
          <w:szCs w:val="20"/>
          <w:lang w:val="en-ID"/>
        </w:rPr>
        <w:t>Undang-Undang Dasar Negara Republik Indonesia Tahun 1945</w:t>
      </w:r>
      <w:r w:rsidRPr="00F75287">
        <w:rPr>
          <w:rFonts w:cs="Segoe UI"/>
          <w:sz w:val="20"/>
          <w:szCs w:val="20"/>
          <w:lang w:val="en-ID"/>
        </w:rPr>
        <w:t>.</w:t>
      </w:r>
    </w:p>
    <w:p w14:paraId="4E7EBDFF" w14:textId="77777777" w:rsidR="00F75287" w:rsidRPr="005A6330"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en-ID"/>
        </w:rPr>
        <w:t xml:space="preserve">Republik Indonesia. </w:t>
      </w:r>
      <w:r w:rsidRPr="005A6330">
        <w:rPr>
          <w:rFonts w:cs="Segoe UI"/>
          <w:i/>
          <w:iCs/>
          <w:sz w:val="20"/>
          <w:szCs w:val="20"/>
          <w:lang w:val="sv-SE"/>
        </w:rPr>
        <w:t>Kitab Undang-Undang Hukum Pidana (KUHP)</w:t>
      </w:r>
      <w:r w:rsidRPr="005A6330">
        <w:rPr>
          <w:rFonts w:cs="Segoe UI"/>
          <w:sz w:val="20"/>
          <w:szCs w:val="20"/>
          <w:lang w:val="sv-SE"/>
        </w:rPr>
        <w:t>.</w:t>
      </w:r>
    </w:p>
    <w:p w14:paraId="6F4BBAAC" w14:textId="77777777" w:rsidR="00F75287" w:rsidRPr="005A6330"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5A6330">
        <w:rPr>
          <w:rFonts w:cs="Segoe UI"/>
          <w:sz w:val="20"/>
          <w:szCs w:val="20"/>
          <w:lang w:val="sv-SE"/>
        </w:rPr>
        <w:t>Republik Indonesia. (2008). Undang-Undang Nomor 11 Tahun 2008 tentang Informasi dan Transaksi Elektronik.</w:t>
      </w:r>
    </w:p>
    <w:p w14:paraId="47454CEC"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t>Republik Indonesia. (2016). Undang-Undang Nomor 19 Tahun 2016 tentang Perubahan atas Undang-Undang Nomor 11 Tahun 2008 tentang Informasi dan Transaksi Elektronik.</w:t>
      </w:r>
    </w:p>
    <w:p w14:paraId="48A4DE10"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75287">
        <w:rPr>
          <w:rFonts w:cs="Segoe UI"/>
          <w:sz w:val="20"/>
          <w:szCs w:val="20"/>
          <w:lang w:val="sv-SE"/>
        </w:rPr>
        <w:t>Republik Indonesia. (2024). Undang-Undang Nomor 1 Tahun 2024 tentang Perubahan Kedua atas Undang-Undang Nomor 11 Tahun 2008 tentang Informasi dan Transaksi Elektronik.</w:t>
      </w:r>
    </w:p>
    <w:p w14:paraId="77E7EDF7" w14:textId="77777777" w:rsidR="00F75287" w:rsidRPr="00F75287" w:rsidRDefault="00F75287" w:rsidP="00F75287">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F75287">
        <w:rPr>
          <w:rFonts w:cs="Segoe UI"/>
          <w:sz w:val="20"/>
          <w:szCs w:val="20"/>
          <w:lang w:val="en-ID"/>
        </w:rPr>
        <w:t>Republik Indonesia. (2009). Undang-Undang Nomor 48 Tahun 2009 tentang Kekuasaan Kehakiman.</w:t>
      </w:r>
    </w:p>
    <w:sectPr w:rsidR="00F75287" w:rsidRPr="00F75287"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6F60F" w14:textId="77777777" w:rsidR="005F5B20" w:rsidRDefault="005F5B20" w:rsidP="009B0AF6">
      <w:pPr>
        <w:spacing w:after="0" w:line="240" w:lineRule="auto"/>
      </w:pPr>
      <w:r>
        <w:separator/>
      </w:r>
    </w:p>
  </w:endnote>
  <w:endnote w:type="continuationSeparator" w:id="0">
    <w:p w14:paraId="0631FD47" w14:textId="77777777" w:rsidR="005F5B20" w:rsidRDefault="005F5B20"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5A0A0AA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E63052" w:rsidRPr="00E63052">
          <w:rPr>
            <w:rFonts w:cs="Segoe UI"/>
            <w:noProof/>
            <w:sz w:val="18"/>
            <w:szCs w:val="18"/>
            <w:lang w:val="fi-FI"/>
          </w:rPr>
          <w:t>Edwin Tandirerung</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9319C" w14:textId="77777777" w:rsidR="005F5B20" w:rsidRDefault="005F5B20" w:rsidP="009B0AF6">
      <w:pPr>
        <w:spacing w:after="0" w:line="240" w:lineRule="auto"/>
      </w:pPr>
      <w:r>
        <w:separator/>
      </w:r>
    </w:p>
  </w:footnote>
  <w:footnote w:type="continuationSeparator" w:id="0">
    <w:p w14:paraId="03AC2798" w14:textId="77777777" w:rsidR="005F5B20" w:rsidRDefault="005F5B20"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048285D"/>
    <w:multiLevelType w:val="hybridMultilevel"/>
    <w:tmpl w:val="2C0E93F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 w15:restartNumberingAfterBreak="0">
    <w:nsid w:val="56D91751"/>
    <w:multiLevelType w:val="multilevel"/>
    <w:tmpl w:val="5450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4"/>
  </w:num>
  <w:num w:numId="2" w16cid:durableId="1655797796">
    <w:abstractNumId w:val="6"/>
  </w:num>
  <w:num w:numId="3" w16cid:durableId="1178079948">
    <w:abstractNumId w:val="3"/>
  </w:num>
  <w:num w:numId="4" w16cid:durableId="1530794457">
    <w:abstractNumId w:val="0"/>
  </w:num>
  <w:num w:numId="5" w16cid:durableId="1843617690">
    <w:abstractNumId w:val="2"/>
  </w:num>
  <w:num w:numId="6" w16cid:durableId="329452911">
    <w:abstractNumId w:val="5"/>
  </w:num>
  <w:num w:numId="7" w16cid:durableId="72399353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A1DEC"/>
    <w:rsid w:val="000C49B6"/>
    <w:rsid w:val="00100027"/>
    <w:rsid w:val="0010607A"/>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789C"/>
    <w:rsid w:val="003E1FC4"/>
    <w:rsid w:val="00413286"/>
    <w:rsid w:val="00417363"/>
    <w:rsid w:val="004202AE"/>
    <w:rsid w:val="00421218"/>
    <w:rsid w:val="00421533"/>
    <w:rsid w:val="00450179"/>
    <w:rsid w:val="00471F0C"/>
    <w:rsid w:val="00476608"/>
    <w:rsid w:val="004865A9"/>
    <w:rsid w:val="00491740"/>
    <w:rsid w:val="004B7C52"/>
    <w:rsid w:val="004C12A1"/>
    <w:rsid w:val="00521D13"/>
    <w:rsid w:val="005362BB"/>
    <w:rsid w:val="00550BFE"/>
    <w:rsid w:val="00581638"/>
    <w:rsid w:val="00587FB4"/>
    <w:rsid w:val="0059044B"/>
    <w:rsid w:val="005939EF"/>
    <w:rsid w:val="005A6330"/>
    <w:rsid w:val="005B7859"/>
    <w:rsid w:val="005C6A72"/>
    <w:rsid w:val="005D710E"/>
    <w:rsid w:val="005E1485"/>
    <w:rsid w:val="005F5B20"/>
    <w:rsid w:val="00613274"/>
    <w:rsid w:val="006269EE"/>
    <w:rsid w:val="00633241"/>
    <w:rsid w:val="00645ED0"/>
    <w:rsid w:val="006658E1"/>
    <w:rsid w:val="00676A1B"/>
    <w:rsid w:val="00685B04"/>
    <w:rsid w:val="006C1665"/>
    <w:rsid w:val="006F0069"/>
    <w:rsid w:val="006F20C0"/>
    <w:rsid w:val="0071791D"/>
    <w:rsid w:val="0072108D"/>
    <w:rsid w:val="007213FB"/>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37037"/>
    <w:rsid w:val="00846F89"/>
    <w:rsid w:val="008530CB"/>
    <w:rsid w:val="008616DC"/>
    <w:rsid w:val="00865042"/>
    <w:rsid w:val="00866359"/>
    <w:rsid w:val="00886EB8"/>
    <w:rsid w:val="00891C46"/>
    <w:rsid w:val="00892257"/>
    <w:rsid w:val="008A53F7"/>
    <w:rsid w:val="008B13FE"/>
    <w:rsid w:val="00935A9E"/>
    <w:rsid w:val="00942C5B"/>
    <w:rsid w:val="00950641"/>
    <w:rsid w:val="00955050"/>
    <w:rsid w:val="00985560"/>
    <w:rsid w:val="00992BA8"/>
    <w:rsid w:val="009A7FF4"/>
    <w:rsid w:val="009B0AF6"/>
    <w:rsid w:val="009B21E3"/>
    <w:rsid w:val="009D0AC1"/>
    <w:rsid w:val="009D47EA"/>
    <w:rsid w:val="00A00056"/>
    <w:rsid w:val="00A24945"/>
    <w:rsid w:val="00A24B83"/>
    <w:rsid w:val="00A27CED"/>
    <w:rsid w:val="00A34F12"/>
    <w:rsid w:val="00A36B0A"/>
    <w:rsid w:val="00A373E7"/>
    <w:rsid w:val="00A476D3"/>
    <w:rsid w:val="00A61E28"/>
    <w:rsid w:val="00A8692C"/>
    <w:rsid w:val="00A93261"/>
    <w:rsid w:val="00AA1DA5"/>
    <w:rsid w:val="00AC334E"/>
    <w:rsid w:val="00AD7B58"/>
    <w:rsid w:val="00AD7C4B"/>
    <w:rsid w:val="00AF1011"/>
    <w:rsid w:val="00B0079C"/>
    <w:rsid w:val="00B024E4"/>
    <w:rsid w:val="00B06DCF"/>
    <w:rsid w:val="00B34841"/>
    <w:rsid w:val="00B34CDD"/>
    <w:rsid w:val="00B47C1B"/>
    <w:rsid w:val="00B5350B"/>
    <w:rsid w:val="00B729BB"/>
    <w:rsid w:val="00B868D8"/>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943A8"/>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F3A0E"/>
    <w:rsid w:val="00E02EE7"/>
    <w:rsid w:val="00E05BB1"/>
    <w:rsid w:val="00E109A4"/>
    <w:rsid w:val="00E3722F"/>
    <w:rsid w:val="00E37C1B"/>
    <w:rsid w:val="00E538A0"/>
    <w:rsid w:val="00E63052"/>
    <w:rsid w:val="00E73E28"/>
    <w:rsid w:val="00E854CC"/>
    <w:rsid w:val="00EA7010"/>
    <w:rsid w:val="00EA7E75"/>
    <w:rsid w:val="00EB308B"/>
    <w:rsid w:val="00ED3699"/>
    <w:rsid w:val="00ED73C9"/>
    <w:rsid w:val="00EF065F"/>
    <w:rsid w:val="00EF2199"/>
    <w:rsid w:val="00F47AF5"/>
    <w:rsid w:val="00F56AF1"/>
    <w:rsid w:val="00F61991"/>
    <w:rsid w:val="00F75287"/>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4691</Words>
  <Characters>26743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15</cp:revision>
  <cp:lastPrinted>2023-04-17T18:59:00Z</cp:lastPrinted>
  <dcterms:created xsi:type="dcterms:W3CDTF">2026-01-24T05:16:00Z</dcterms:created>
  <dcterms:modified xsi:type="dcterms:W3CDTF">2026-08-13T23:49:00Z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