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1EA123F2" w:rsidR="00676A1B" w:rsidRPr="00697CB9" w:rsidRDefault="00697CB9" w:rsidP="00100027">
      <w:pPr>
        <w:tabs>
          <w:tab w:val="right" w:pos="9026"/>
        </w:tabs>
        <w:spacing w:after="0" w:line="240" w:lineRule="auto"/>
        <w:jc w:val="center"/>
        <w:rPr>
          <w:rFonts w:cs="Segoe UI"/>
          <w:b/>
          <w:sz w:val="30"/>
          <w:szCs w:val="30"/>
        </w:rPr>
      </w:pPr>
      <w:r>
        <w:rPr>
          <w:rFonts w:eastAsia="Segoe UI"/>
          <w:b/>
          <w:sz w:val="30"/>
        </w:rPr>
        <w:t>Kualitas Pelayanan Sebagai Pembentuk Kepuasan Pelanggan Pada Praktik Mandiri Dokter Gigi: Studi Kualitatif Berbasis SERVQUAL</w:t>
      </w:r>
    </w:p>
    <w:p w14:paraId="3A1EF515" w14:textId="6350003F" w:rsidR="00100027" w:rsidRPr="00697CB9" w:rsidRDefault="00100027" w:rsidP="007677D4">
      <w:pPr>
        <w:tabs>
          <w:tab w:val="right" w:pos="9026"/>
        </w:tabs>
        <w:spacing w:after="0" w:line="240" w:lineRule="auto"/>
        <w:jc w:val="left"/>
        <w:rPr>
          <w:rFonts w:cs="Segoe UI"/>
          <w:i/>
          <w:sz w:val="24"/>
          <w:szCs w:val="20"/>
        </w:rPr>
      </w:pPr>
    </w:p>
    <w:p w14:paraId="469C6E82" w14:textId="183D7E7F" w:rsidR="00361A98" w:rsidRPr="00C676AF" w:rsidRDefault="00361A98" w:rsidP="00676A1B">
      <w:pPr>
        <w:tabs>
          <w:tab w:val="right" w:pos="9026"/>
        </w:tabs>
        <w:spacing w:after="0" w:line="240" w:lineRule="auto"/>
        <w:rPr>
          <w:rFonts w:cs="Segoe UI"/>
          <w:sz w:val="20"/>
          <w:szCs w:val="20"/>
        </w:rPr>
      </w:pPr>
    </w:p>
    <w:p w14:paraId="3FCEF60B" w14:textId="52F8B842" w:rsidR="00697CB9" w:rsidRPr="00697CB9" w:rsidRDefault="00697CB9" w:rsidP="00697CB9">
      <w:pPr>
        <w:tabs>
          <w:tab w:val="right" w:pos="9026"/>
        </w:tabs>
        <w:spacing w:after="0" w:line="240" w:lineRule="auto"/>
        <w:rPr>
          <w:rFonts w:cs="Segoe UI"/>
          <w:b/>
          <w:bCs/>
          <w:sz w:val="24"/>
          <w:szCs w:val="24"/>
          <w:lang w:val="fi-FI"/>
        </w:rPr>
      </w:pPr>
      <w:r w:rsidRPr="00697CB9">
        <w:rPr>
          <w:rFonts w:cs="Segoe UI"/>
          <w:b/>
          <w:bCs/>
          <w:sz w:val="24"/>
          <w:szCs w:val="24"/>
          <w:lang w:val="fi-FI"/>
        </w:rPr>
        <w:t>Andriany1*, Natalia Paranoan2, Hendrik Gunadi3</w:t>
      </w:r>
    </w:p>
    <w:p w14:paraId="61802EDF" w14:textId="77777777" w:rsidR="00697CB9" w:rsidRDefault="00697CB9" w:rsidP="00697CB9">
      <w:pPr>
        <w:tabs>
          <w:tab w:val="right" w:pos="9026"/>
        </w:tabs>
        <w:spacing w:after="0" w:line="240" w:lineRule="auto"/>
        <w:rPr>
          <w:rFonts w:cs="Segoe UI"/>
          <w:sz w:val="20"/>
          <w:szCs w:val="20"/>
          <w:lang w:val="fi-FI"/>
        </w:rPr>
      </w:pPr>
      <w:r>
        <w:rPr>
          <w:rFonts w:eastAsia="Segoe UI"/>
          <w:sz w:val="20"/>
        </w:rPr>
        <w:t>1,2,3 Program Studi Magister Manajemen, Program Pascasarjana, Universitas Kristen Indonesia Paulus, Makassar, Indonesia</w:t>
      </w:r>
    </w:p>
    <w:p w14:paraId="254C278D" w14:textId="77777777" w:rsidR="00697CB9" w:rsidRPr="00697CB9" w:rsidRDefault="00697CB9" w:rsidP="00697CB9">
      <w:pPr>
        <w:tabs>
          <w:tab w:val="right" w:pos="9026"/>
        </w:tabs>
        <w:spacing w:after="0" w:line="240" w:lineRule="auto"/>
        <w:rPr>
          <w:rFonts w:cs="Segoe UI"/>
          <w:i/>
          <w:sz w:val="18"/>
          <w:szCs w:val="18"/>
          <w:lang w:val="en-US"/>
        </w:rPr>
      </w:pPr>
      <w:r w:rsidRPr="00697CB9">
        <w:rPr>
          <w:rFonts w:eastAsia="Segoe UI"/>
          <w:i/>
          <w:sz w:val="18"/>
          <w:szCs w:val="18"/>
        </w:rPr>
        <w:t>andriany.andriay1@gmail.com (Korespondensi)*</w:t>
      </w:r>
    </w:p>
    <w:p w14:paraId="03280406" w14:textId="7B7D9BBE" w:rsidR="00BE12F5" w:rsidRPr="007677D4" w:rsidRDefault="00BE12F5" w:rsidP="00241D17">
      <w:pPr>
        <w:tabs>
          <w:tab w:val="right" w:pos="9026"/>
        </w:tabs>
        <w:spacing w:after="0" w:line="240" w:lineRule="auto"/>
        <w:rPr>
          <w:rFonts w:cs="Segoe UI"/>
          <w:i/>
          <w:sz w:val="18"/>
          <w:szCs w:val="18"/>
          <w:lang w:val="en-US"/>
        </w:rPr>
      </w:pP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34FD7EE3" w:rsidR="00417363" w:rsidRDefault="00697CB9" w:rsidP="00886EB8">
            <w:pPr>
              <w:spacing w:after="0" w:line="240" w:lineRule="auto"/>
              <w:jc w:val="left"/>
              <w:rPr>
                <w:rFonts w:eastAsia="Times New Roman" w:cs="Segoe UI"/>
                <w:i/>
                <w:iCs/>
                <w:color w:val="181717"/>
                <w:sz w:val="20"/>
                <w:szCs w:val="20"/>
                <w:lang w:val="en-US"/>
              </w:rPr>
            </w:pPr>
            <w:r w:rsidRPr="00697CB9">
              <w:rPr>
                <w:rFonts w:eastAsia="Times New Roman" w:cs="Segoe UI"/>
                <w:i/>
                <w:iCs/>
                <w:color w:val="181717"/>
                <w:sz w:val="20"/>
                <w:szCs w:val="20"/>
                <w:lang w:val="en-US"/>
              </w:rPr>
              <w:t>service quality, customer satisfaction, SERVQUAL, dental practice, qualitative study, service management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1A3D0838" w:rsidR="00241D17" w:rsidRPr="00C676AF" w:rsidRDefault="00697CB9"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k</w:t>
            </w:r>
            <w:r w:rsidRPr="00697CB9">
              <w:rPr>
                <w:rFonts w:eastAsia="Times New Roman" w:cs="Segoe UI"/>
                <w:iCs/>
                <w:color w:val="181717"/>
                <w:sz w:val="20"/>
                <w:szCs w:val="20"/>
                <w:lang w:val="fi-FI"/>
              </w:rPr>
              <w:t>ualitas pelayanan, kepuasan pelanggan, SERVQUAL, praktik dokter gigi, studi kualitatif, manajemen pelayanan</w:t>
            </w:r>
          </w:p>
        </w:tc>
        <w:tc>
          <w:tcPr>
            <w:tcW w:w="3829" w:type="pct"/>
            <w:tcBorders>
              <w:top w:val="single" w:sz="4" w:space="0" w:color="auto"/>
              <w:bottom w:val="single" w:sz="4" w:space="0" w:color="auto"/>
            </w:tcBorders>
          </w:tcPr>
          <w:p w14:paraId="55BC0D0E" w14:textId="403444AD" w:rsidR="00147D80" w:rsidRDefault="00241D17" w:rsidP="001E0508">
            <w:pPr>
              <w:spacing w:after="0" w:line="240" w:lineRule="auto"/>
              <w:rPr>
                <w:rStyle w:val="Kuat"/>
                <w:rFonts w:cs="Segoe UI"/>
                <w:b w:val="0"/>
                <w:bCs w:val="0"/>
                <w:i/>
                <w:iCs/>
                <w:color w:val="000000"/>
                <w:sz w:val="20"/>
                <w:szCs w:val="20"/>
                <w:shd w:val="clear" w:color="auto" w:fill="FFFFFF"/>
              </w:rPr>
            </w:pPr>
            <w:r w:rsidRPr="00C676AF">
              <w:rPr>
                <w:rFonts w:eastAsia="Times New Roman" w:cs="Segoe UI"/>
                <w:b/>
                <w:i/>
                <w:iCs/>
                <w:sz w:val="20"/>
                <w:szCs w:val="20"/>
              </w:rPr>
              <w:t>Abstract:</w:t>
            </w:r>
            <w:r w:rsidRPr="00C676AF">
              <w:rPr>
                <w:rFonts w:cs="Segoe UI"/>
                <w:i/>
                <w:iCs/>
                <w:sz w:val="20"/>
                <w:szCs w:val="20"/>
              </w:rPr>
              <w:t xml:space="preserve"> </w:t>
            </w:r>
            <w:r w:rsidR="00697CB9" w:rsidRPr="00697CB9">
              <w:rPr>
                <w:rFonts w:cs="Segoe UI"/>
                <w:i/>
                <w:iCs/>
                <w:color w:val="000000"/>
                <w:sz w:val="20"/>
                <w:szCs w:val="20"/>
                <w:shd w:val="clear" w:color="auto" w:fill="FFFFFF"/>
              </w:rPr>
              <w:t>This study analyzes service quality as a qualitative determinant of customer satisfaction in an independent dental practice using the SERVQUAL framework. A descriptive qualitative design was applied to five unique patient informants selected purposively. Empirical data were derived from open-ended interview/questionnaire sheets and analyzed through data reduction, data display, and conclusion drawing/verification. The findings show consistently positive perceptions of reliability, responsiveness, assurance, and empathy. All informants stated that services matched promises, schedules were punctual, information and administration were reliable, responses were fast, procedures and costs were explained transparently, and the dentist and staff were friendly and attentive. The main service gap was found in tangibles, particularly the limited waiting area and parking access. All informants rated the overall service as good and were willing to recommend the practice. The study concludes that satisfaction is primarily formed by reliable service processes, trust-building communication, and empathy, while physical facilities require priority improvement. Managerial actions should combine quick physical improvements with service standardization, feedback systems, and quality monitoring.</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28EEC80" w14:textId="77777777" w:rsidR="00697CB9" w:rsidRPr="00697CB9" w:rsidRDefault="00241D17" w:rsidP="00697CB9">
            <w:pPr>
              <w:spacing w:after="0" w:line="240" w:lineRule="auto"/>
              <w:rPr>
                <w:rFonts w:cs="Segoe UI"/>
                <w:color w:val="000000"/>
                <w:sz w:val="20"/>
                <w:szCs w:val="20"/>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697CB9" w:rsidRPr="00697CB9">
              <w:rPr>
                <w:rFonts w:cs="Segoe UI"/>
                <w:color w:val="000000"/>
                <w:sz w:val="20"/>
                <w:szCs w:val="20"/>
                <w:shd w:val="clear" w:color="auto" w:fill="FFFFFF"/>
              </w:rPr>
              <w:t xml:space="preserve">Abstract: This study analyzes service quality as a qualitative determinant of customer satisfaction in an independent dental practice using the SERVQUAL framework. A descriptive qualitative design was applied to five unique patient informants selected purposively. Empirical data were derived from open-ended interview/questionnaire sheets and analyzed through data reduction, data display, and conclusion drawing/verification. The findings show consistently positive perceptions of reliability, responsiveness, assurance, and empathy. All informants stated that services matched promises, schedules were punctual, information and administration </w:t>
            </w:r>
            <w:r w:rsidR="00697CB9" w:rsidRPr="00697CB9">
              <w:rPr>
                <w:rFonts w:cs="Segoe UI"/>
                <w:color w:val="000000"/>
                <w:sz w:val="20"/>
                <w:szCs w:val="20"/>
                <w:shd w:val="clear" w:color="auto" w:fill="FFFFFF"/>
              </w:rPr>
              <w:lastRenderedPageBreak/>
              <w:t>were reliable, responses were fast, procedures and costs were explained transparently, and the dentist and staff were friendly and attentive. The main service gap was found in tangibles, particularly the limited waiting area and parking access. All informants rated the overall service as good and were willing to recommend the practice. The study concludes that satisfaction is primarily formed by reliable service processes, trust-building communication, and empathy, while physical facilities require priority improvement. Managerial actions should combine quick physical improvements with service standardization, feedback systems, and quality monitoring.</w:t>
            </w:r>
          </w:p>
          <w:p w14:paraId="5CE97357" w14:textId="2209A7A6" w:rsidR="00147D80" w:rsidRDefault="00697CB9" w:rsidP="00697CB9">
            <w:pPr>
              <w:spacing w:after="0" w:line="240" w:lineRule="auto"/>
              <w:rPr>
                <w:rStyle w:val="Kuat"/>
                <w:rFonts w:cs="Segoe UI"/>
                <w:b w:val="0"/>
                <w:bCs w:val="0"/>
                <w:color w:val="000000"/>
                <w:sz w:val="21"/>
                <w:szCs w:val="21"/>
                <w:shd w:val="clear" w:color="auto" w:fill="FFFFFF"/>
              </w:rPr>
            </w:pPr>
            <w:r w:rsidRPr="00697CB9">
              <w:rPr>
                <w:rFonts w:cs="Segoe UI"/>
                <w:color w:val="000000"/>
                <w:sz w:val="20"/>
                <w:szCs w:val="20"/>
                <w:shd w:val="clear" w:color="auto" w:fill="FFFFFF"/>
              </w:rPr>
              <w:t>Abstrak: Penelitian ini menganalisis kualitas pelayanan sebagai pembentuk kepuasan pelanggan pada praktik mandiri dokter gigi menggunakan kerangka SERVQUAL. Penelitian menggunakan desain deskriptif kualitatif terhadap lima informan pasien unik yang dipilih secara purposive. Data empiris berasal dari lembar pertanyaan wawancara/kuesioner terbuka dan dianalisis melalui reduksi data, penyajian data, serta penarikan kesimpulan/verifikasi. Hasil menunjukkan reliability, responsiveness, assurance, dan empathy dipersepsikan positif secara konsisten. Seluruh informan menyatakan pelayanan sesuai janji, jadwal tepat, informasi dan administrasi baik, respons cepat, prosedur dan biaya dijelaskan secara transparan, serta dokter dan staf bersikap ramah dan penuh perhatian. Kesenjangan utama terdapat pada tangibles, khususnya keterbatasan ruang tunggu dan akses parkir. Seluruh informan menilai kualitas pelayanan secara keseluruhan “bagus” dan bersedia merekomendasikan klinik. Kepuasan terutama terbentuk melalui proses pelayanan yang andal, komunikasi yang membangun kepercayaan, dan empati, sedangkan fasilitas fisik menjadi prioritas perbaikan. Implikasi manajerial meliputi perbaikan fasilitas, standardisasi pelayanan, sistem umpan balik, dan pemantauan mutu.</w:t>
            </w:r>
          </w:p>
          <w:p w14:paraId="414A3B75" w14:textId="2EDC7993" w:rsidR="001E0508" w:rsidRPr="00697CB9" w:rsidRDefault="001E0508" w:rsidP="001E0508">
            <w:pPr>
              <w:spacing w:after="0" w:line="240" w:lineRule="auto"/>
              <w:rPr>
                <w:rFonts w:eastAsia="Times New Roman" w:cs="Segoe UI"/>
                <w:iCs/>
                <w:sz w:val="20"/>
                <w:szCs w:val="20"/>
                <w:lang w:val="sv-SE"/>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Judul3"/>
        <w:ind w:firstLine="66"/>
      </w:pPr>
      <w:r w:rsidRPr="001E0508">
        <w:t>PENDAHULUAN</w:t>
      </w:r>
    </w:p>
    <w:p w14:paraId="0D37CB0F" w14:textId="77777777" w:rsidR="00697CB9" w:rsidRDefault="00697CB9" w:rsidP="00697CB9">
      <w:pPr>
        <w:pStyle w:val="IEEEParagraph"/>
        <w:ind w:left="567" w:right="322" w:firstLine="567"/>
        <w:rPr>
          <w:rFonts w:ascii="Segoe UI" w:hAnsi="Segoe UI" w:cs="Segoe UI"/>
          <w:sz w:val="22"/>
          <w:szCs w:val="22"/>
          <w:shd w:val="clear" w:color="auto" w:fill="FFFFFF"/>
          <w:lang w:val="sv-SE"/>
        </w:rPr>
      </w:pPr>
      <w:r w:rsidRPr="00697CB9">
        <w:rPr>
          <w:rFonts w:ascii="Segoe UI" w:eastAsia="Segoe UI" w:hAnsi="Segoe UI"/>
          <w:sz w:val="22"/>
        </w:rPr>
        <w:t xml:space="preserve">Pelayanan kesehatan gigi merupakan layanan jasa profesional yang dinilai pelanggan tidak hanya dari hasil tindakan, tetapi juga dari keseluruhan proses yang mereka alami sebelum, selama, dan setelah perawatan. </w:t>
      </w:r>
      <w:r w:rsidRPr="00E273AD">
        <w:rPr>
          <w:rFonts w:ascii="Segoe UI" w:eastAsia="Segoe UI" w:hAnsi="Segoe UI"/>
          <w:sz w:val="22"/>
        </w:rPr>
        <w:t xml:space="preserve">Dalam praktik mandiri dokter gigi, pengalaman tersebut meliputi kemudahan mengakses layanan, ketepatan jadwal, kecepatan pendaftaran, komunikasi dokter-pasien, rasa aman, transparansi biaya, perhatian terhadap kebutuhan individual, hingga kenyamanan fasilitas. Karena karakter jasa kesehatan mengandung ketidakpastian dan risiko yang relatif tinggi, persepsi terhadap kualitas proses pelayanan menjadi sangat penting dalam membentuk kepercayaan dan kepuasan pelanggan. </w:t>
      </w:r>
      <w:r w:rsidRPr="00697CB9">
        <w:rPr>
          <w:rFonts w:ascii="Segoe UI" w:eastAsia="Segoe UI" w:hAnsi="Segoe UI"/>
          <w:sz w:val="22"/>
          <w:lang w:val="sv-SE"/>
        </w:rPr>
        <w:t>Wolf et al. (2021) menempatkan pengalaman pasien sebagai akumulasi interaksi dengan sistem pelayanan yang membentuk persepsi terhadap mutu pelayanan. Dalam konteks klinik gigi, pelayanan yang responsif dan empatik juga dilaporkan berhubungan erat dengan kepuasan pasien (Alfath et al., 2026).</w:t>
      </w:r>
    </w:p>
    <w:p w14:paraId="11A6A082" w14:textId="77777777" w:rsidR="00697CB9" w:rsidRDefault="00697CB9" w:rsidP="00697CB9">
      <w:pPr>
        <w:pStyle w:val="IEEEParagraph"/>
        <w:ind w:left="567" w:right="322" w:firstLine="567"/>
        <w:rPr>
          <w:rFonts w:ascii="Segoe UI" w:hAnsi="Segoe UI" w:cs="Segoe UI"/>
          <w:sz w:val="22"/>
          <w:szCs w:val="22"/>
          <w:shd w:val="clear" w:color="auto" w:fill="FFFFFF"/>
          <w:lang w:val="sv-SE"/>
        </w:rPr>
      </w:pPr>
      <w:r w:rsidRPr="00697CB9">
        <w:rPr>
          <w:rFonts w:ascii="Segoe UI" w:eastAsia="Segoe UI" w:hAnsi="Segoe UI"/>
          <w:sz w:val="22"/>
          <w:lang w:val="sv-SE"/>
        </w:rPr>
        <w:t xml:space="preserve">Kepuasan pelanggan mempunyai nilai strategis bagi organisasi jasa karena menjadi dasar penilaian atas kesesuaian pelayanan dengan kebutuhan dan harapan pelanggan. Pada layanan kesehatan gigi, kepuasan tidak berdiri sendiri, tetapi berhubungan dengan kepercayaan, niat menggunakan kembali, dan kesediaan merekomendasikan layanan. Paramarta dan Rahmiyati (2025) menunjukkan bahwa kualitas pelayanan dapat mendorong loyalitas melalui kepuasan pada pelayanan gigi dan mulut. Rahmadani dan Sulistyowati (2026) juga menegaskan peran kepuasan </w:t>
      </w:r>
      <w:r w:rsidRPr="00697CB9">
        <w:rPr>
          <w:rFonts w:ascii="Segoe UI" w:eastAsia="Segoe UI" w:hAnsi="Segoe UI"/>
          <w:sz w:val="22"/>
          <w:lang w:val="sv-SE"/>
        </w:rPr>
        <w:lastRenderedPageBreak/>
        <w:t>sebagai penghubung antara kualitas layanan, citra, dan loyalitas pasien. Temuan-temuan tersebut menunjukkan bahwa peningkatan kualitas pelayanan bukan hanya agenda operasional, melainkan bagian dari strategi mempertahankan hubungan jangka panjang dengan pelanggan.</w:t>
      </w:r>
    </w:p>
    <w:p w14:paraId="74A324E4" w14:textId="77777777" w:rsidR="00697CB9" w:rsidRDefault="00697CB9" w:rsidP="00697CB9">
      <w:pPr>
        <w:pStyle w:val="IEEEParagraph"/>
        <w:ind w:left="567" w:right="322" w:firstLine="567"/>
        <w:rPr>
          <w:rFonts w:ascii="Segoe UI" w:hAnsi="Segoe UI" w:cs="Segoe UI"/>
          <w:sz w:val="22"/>
          <w:szCs w:val="22"/>
          <w:shd w:val="clear" w:color="auto" w:fill="FFFFFF"/>
          <w:lang w:val="sv-SE"/>
        </w:rPr>
      </w:pPr>
      <w:r>
        <w:rPr>
          <w:rFonts w:ascii="Segoe UI" w:eastAsia="Segoe UI" w:hAnsi="Segoe UI"/>
          <w:sz w:val="22"/>
        </w:rPr>
        <w:t xml:space="preserve">Salah satu kerangka yang paling luas digunakan untuk membaca kualitas jasa adalah SERVQUAL yang terdiri atas tangibles, reliability, responsiveness, assurance, dan empathy (Parasuraman et al., 1988). </w:t>
      </w:r>
      <w:r w:rsidRPr="00697CB9">
        <w:rPr>
          <w:rFonts w:ascii="Segoe UI" w:eastAsia="Segoe UI" w:hAnsi="Segoe UI"/>
          <w:sz w:val="22"/>
          <w:lang w:val="sv-SE"/>
        </w:rPr>
        <w:t>Tangibles berkaitan dengan fasilitas fisik, peralatan, kebersihan, penampilan petugas, dan sarana informasi. Reliability menggambarkan kemampuan penyedia jasa memenuhi janji secara akurat dan konsisten. Responsiveness menunjukkan kecepatan dan kesigapan membantu pelanggan. Assurance berkaitan dengan kompetensi, profesionalisme, rasa aman, dan kemampuan membangun kepercayaan, sedangkan empathy menekankan perhatian personal, kemampuan mendengarkan, keramahan, serta pemahaman terhadap kebutuhan pelanggan. Dalam kajian ekonomi dan manajemen jasa, kelima dimensi tersebut dapat dipahami sebagai elemen proses penciptaan nilai layanan yang pada akhirnya membentuk persepsi dan kepuasan pelanggan.</w:t>
      </w:r>
    </w:p>
    <w:p w14:paraId="1747E6FB" w14:textId="77777777" w:rsidR="00697CB9" w:rsidRDefault="00697CB9" w:rsidP="00697CB9">
      <w:pPr>
        <w:pStyle w:val="IEEEParagraph"/>
        <w:ind w:left="567" w:right="322" w:firstLine="567"/>
        <w:rPr>
          <w:rFonts w:ascii="Segoe UI" w:eastAsia="Segoe UI" w:hAnsi="Segoe UI"/>
          <w:sz w:val="22"/>
          <w:lang w:val="sv-SE"/>
        </w:rPr>
      </w:pPr>
      <w:r w:rsidRPr="00697CB9">
        <w:rPr>
          <w:rFonts w:ascii="Segoe UI" w:eastAsia="Segoe UI" w:hAnsi="Segoe UI"/>
          <w:sz w:val="22"/>
          <w:lang w:val="sv-SE"/>
        </w:rPr>
        <w:t>Kajian dalam tugas akhir menunjukkan bahwa penelitian kepuasan pasien gigi masih didominasi pendekatan kuantitatif yang mengukur tingkat kepuasan melalui survei, sedangkan penelitian kualitatif yang menggali bagaimana pelanggan memaknai kualitas pelayanan, komunikasi interpersonal, kenyamanan, dan pelayanan prima pada praktik mandiri relatif lebih terbatas. Kesenjangan ini penting karena skor kuantitatif dapat menunjukkan tingkat kepuasan, tetapi tidak selalu menjelaskan atribut mana yang paling diapresiasi pelanggan, pengalaman apa yang dianggap bermakna, dan perbaikan apa yang konsisten muncul dari suara pasien. Pendekatan kualitatif memungkinkan kualitas pelayanan dibaca sebagai pengalaman yang utuh, bukan sekadar angka agregat</w:t>
      </w:r>
      <w:r>
        <w:rPr>
          <w:rFonts w:ascii="Segoe UI" w:eastAsia="Segoe UI" w:hAnsi="Segoe UI"/>
          <w:sz w:val="22"/>
          <w:lang w:val="sv-SE"/>
        </w:rPr>
        <w:t>.</w:t>
      </w:r>
    </w:p>
    <w:p w14:paraId="7260D5EA" w14:textId="4A64C78A" w:rsidR="00697CB9" w:rsidRPr="00697CB9" w:rsidRDefault="00697CB9" w:rsidP="00697CB9">
      <w:pPr>
        <w:pStyle w:val="IEEEParagraph"/>
        <w:ind w:left="567" w:right="322" w:firstLine="567"/>
        <w:rPr>
          <w:rFonts w:ascii="Segoe UI" w:hAnsi="Segoe UI" w:cs="Segoe UI"/>
          <w:sz w:val="22"/>
          <w:szCs w:val="22"/>
          <w:shd w:val="clear" w:color="auto" w:fill="FFFFFF"/>
          <w:lang w:val="sv-SE"/>
        </w:rPr>
      </w:pPr>
      <w:r w:rsidRPr="00697CB9">
        <w:rPr>
          <w:rFonts w:ascii="Segoe UI" w:eastAsia="Segoe UI" w:hAnsi="Segoe UI"/>
          <w:sz w:val="22"/>
          <w:lang w:val="sv-SE"/>
        </w:rPr>
        <w:t>Berdasarkan kondisi tersebut, penelitian ini bertujuan menganalisis kualitas pelayanan sebagai pembentuk kepuasan pelanggan pada praktik mandiri dokter gigi melalui perspektif SERVQUAL. Secara khusus penelitian mengidentifikasi pola pengalaman pelanggan pada lima dimensi SERVQUAL, menentukan kekuatan dan kesenjangan pelayanan, menjelaskan keterkaitan temuan dengan kepuasan serta niat rekomendasi, dan merumuskan implikasi manajerial yang dapat diprioritaskan. Kontribusi teoretis penelitian terletak pada penggunaan SERVQUAL sebagai kerangka interpretasi kualitatif terhadap pengalaman pelanggan, sedangkan kontribusi praktisnya adalah penyusunan prioritas peningkatan mutu berbasis suara pasien yang dapat diterapkan oleh pengelola praktik mandiri.</w:t>
      </w:r>
    </w:p>
    <w:p w14:paraId="09F215AA" w14:textId="77777777" w:rsidR="00697CB9" w:rsidRPr="00955050" w:rsidRDefault="00697CB9" w:rsidP="00955050">
      <w:pPr>
        <w:pStyle w:val="IEEEParagraph"/>
        <w:ind w:left="567" w:right="322" w:firstLine="567"/>
        <w:rPr>
          <w:rFonts w:ascii="Segoe UI" w:hAnsi="Segoe UI" w:cs="Segoe UI"/>
          <w:sz w:val="22"/>
          <w:szCs w:val="22"/>
          <w:shd w:val="clear" w:color="auto" w:fill="FFFFFF"/>
          <w:lang w:val="sv-SE"/>
        </w:rPr>
      </w:pPr>
    </w:p>
    <w:p w14:paraId="7FD4F605" w14:textId="4FAA5C22" w:rsidR="001C62FB" w:rsidRPr="00E273AD" w:rsidRDefault="001C62FB" w:rsidP="00E273AD">
      <w:pPr>
        <w:pStyle w:val="Judul3"/>
        <w:ind w:left="1134" w:right="322" w:hanging="425"/>
        <w:rPr>
          <w:rStyle w:val="mediumtext"/>
        </w:rPr>
      </w:pPr>
      <w:r w:rsidRPr="001C62FB">
        <w:t>METODOLOGI PENELITIAN</w:t>
      </w:r>
    </w:p>
    <w:p w14:paraId="52C06D7E" w14:textId="77777777" w:rsidR="00E273AD" w:rsidRPr="00E273AD" w:rsidRDefault="00E273AD" w:rsidP="00E273AD">
      <w:pPr>
        <w:spacing w:before="100" w:after="60"/>
        <w:ind w:left="567"/>
        <w:jc w:val="left"/>
        <w:rPr>
          <w:i/>
          <w:iCs/>
          <w:sz w:val="24"/>
          <w:szCs w:val="24"/>
        </w:rPr>
      </w:pPr>
      <w:r w:rsidRPr="00E273AD">
        <w:rPr>
          <w:rFonts w:eastAsia="Segoe UI"/>
          <w:b/>
          <w:i/>
          <w:iCs/>
          <w:sz w:val="24"/>
          <w:szCs w:val="24"/>
        </w:rPr>
        <w:t>2.1 Desain Penelitian</w:t>
      </w:r>
    </w:p>
    <w:p w14:paraId="3B3549D3" w14:textId="77777777" w:rsidR="00E273AD" w:rsidRPr="00E273AD" w:rsidRDefault="00E273AD" w:rsidP="00E273AD">
      <w:pPr>
        <w:pStyle w:val="IEEEParagraph"/>
        <w:spacing w:after="40"/>
        <w:ind w:left="720" w:firstLine="425"/>
        <w:rPr>
          <w:lang w:val="sv-SE"/>
        </w:rPr>
      </w:pPr>
      <w:r w:rsidRPr="00E273AD">
        <w:rPr>
          <w:rFonts w:ascii="Segoe UI" w:eastAsia="Segoe UI" w:hAnsi="Segoe UI"/>
          <w:sz w:val="22"/>
          <w:lang w:val="sv-SE"/>
        </w:rPr>
        <w:t>Penelitian menggunakan pendekatan deskriptif kualitatif. Pendekatan ini dipilih karena tujuan penelitian bukan menguji pengaruh kausal secara statistik, melainkan memahami pola pengalaman, persepsi, dan makna kepuasan pelanggan terhadap pelayanan praktik dokter gigi. Dengan demikian, istilah “pembentuk” pada penelitian ini digunakan dalam makna kualitatif, yaitu atribut pelayanan yang secara konsisten muncul sebagai sumber kepuasan dalam narasi informan. Lokasi penelitian dalam naskah sumber dinyatakan sebagai salah satu praktik/klinik dokter gigi yang dipilih secara purposive. Identitas spesifik lokasi dan periode penelitian tidak dicantumkan dalam data sumber sehingga tidak ditambahkan dalam artikel ini.</w:t>
      </w:r>
    </w:p>
    <w:p w14:paraId="065DEF55" w14:textId="77777777" w:rsidR="00E273AD" w:rsidRPr="00E273AD" w:rsidRDefault="00E273AD" w:rsidP="00E273AD">
      <w:pPr>
        <w:spacing w:before="100" w:after="60"/>
        <w:ind w:left="567"/>
        <w:jc w:val="left"/>
        <w:rPr>
          <w:sz w:val="24"/>
          <w:szCs w:val="24"/>
        </w:rPr>
      </w:pPr>
      <w:r w:rsidRPr="00E273AD">
        <w:rPr>
          <w:rFonts w:eastAsia="Segoe UI"/>
          <w:b/>
          <w:sz w:val="24"/>
          <w:szCs w:val="24"/>
        </w:rPr>
        <w:lastRenderedPageBreak/>
        <w:t>2.2 Informan dan Unit Analisis</w:t>
      </w:r>
    </w:p>
    <w:p w14:paraId="5CB354E3" w14:textId="77777777" w:rsidR="00E273AD" w:rsidRPr="00E273AD" w:rsidRDefault="00E273AD" w:rsidP="00E273AD">
      <w:pPr>
        <w:pStyle w:val="IEEEParagraph"/>
        <w:spacing w:after="40"/>
        <w:ind w:left="567" w:firstLine="425"/>
        <w:rPr>
          <w:lang w:val="sv-SE"/>
        </w:rPr>
      </w:pPr>
      <w:r w:rsidRPr="00E273AD">
        <w:rPr>
          <w:rFonts w:ascii="Segoe UI" w:eastAsia="Segoe UI" w:hAnsi="Segoe UI"/>
          <w:sz w:val="22"/>
          <w:lang w:val="sv-SE"/>
        </w:rPr>
        <w:t>Informan utama adalah pasien yang pernah memperoleh pelayanan pada praktik dokter gigi, bersedia memberikan informasi, mampu berkomunikasi dengan baik, dan bersedia mengikuti proses penelitian. Pemilihan informan dilakukan secara purposive karena pengalaman langsung terhadap pelayanan menjadi kriteria utama. Basis empiris pada tugas akhir memuat enam berkas jawaban pasien berinisial M, M2, NG, P, Valen, dan WJ. Setelah pemeriksaan identitas, karakteristik, dan pola jawaban, berkas M dan M2 diketahui memuat data yang sama. Untuk mencegah penghitungan ganda, kedua berkas tersebut diperlakukan sebagai satu sumber data sehingga unit analisis terdiri atas lima informan unik: M, NG, P, Valen, dan WJ.</w:t>
      </w:r>
    </w:p>
    <w:p w14:paraId="66CC6D77" w14:textId="77777777" w:rsidR="00E273AD" w:rsidRDefault="00E273AD" w:rsidP="00E273AD">
      <w:pPr>
        <w:spacing w:before="40" w:after="20"/>
        <w:jc w:val="center"/>
      </w:pPr>
      <w:r>
        <w:rPr>
          <w:rFonts w:eastAsia="Segoe UI"/>
          <w:sz w:val="20"/>
        </w:rPr>
        <w:t>Tabel 1. Karakteristik Informan</w:t>
      </w:r>
    </w:p>
    <w:tbl>
      <w:tblPr>
        <w:tblW w:w="0" w:type="auto"/>
        <w:jc w:val="center"/>
        <w:tblBorders>
          <w:top w:val="single" w:sz="4" w:space="0" w:color="auto"/>
          <w:bottom w:val="single" w:sz="4" w:space="0" w:color="auto"/>
        </w:tblBorders>
        <w:tblLook w:val="04A0" w:firstRow="1" w:lastRow="0" w:firstColumn="1" w:lastColumn="0" w:noHBand="0" w:noVBand="1"/>
      </w:tblPr>
      <w:tblGrid>
        <w:gridCol w:w="1413"/>
        <w:gridCol w:w="1701"/>
        <w:gridCol w:w="1843"/>
        <w:gridCol w:w="2055"/>
        <w:gridCol w:w="2055"/>
      </w:tblGrid>
      <w:tr w:rsidR="00E273AD" w14:paraId="118842C5" w14:textId="77777777" w:rsidTr="00E273AD">
        <w:trPr>
          <w:cantSplit/>
          <w:jc w:val="center"/>
        </w:trPr>
        <w:tc>
          <w:tcPr>
            <w:tcW w:w="1413" w:type="dxa"/>
            <w:tcBorders>
              <w:top w:val="single" w:sz="4" w:space="0" w:color="auto"/>
              <w:bottom w:val="single" w:sz="4" w:space="0" w:color="auto"/>
            </w:tcBorders>
            <w:shd w:val="clear" w:color="auto" w:fill="E7E6E6"/>
            <w:vAlign w:val="center"/>
          </w:tcPr>
          <w:p w14:paraId="4B9068BD" w14:textId="77777777" w:rsidR="00E273AD" w:rsidRDefault="00E273AD" w:rsidP="00C820DE">
            <w:pPr>
              <w:spacing w:after="0"/>
              <w:jc w:val="center"/>
            </w:pPr>
            <w:r>
              <w:rPr>
                <w:rFonts w:eastAsia="Segoe UI"/>
                <w:b/>
                <w:sz w:val="18"/>
              </w:rPr>
              <w:t>Kode</w:t>
            </w:r>
          </w:p>
        </w:tc>
        <w:tc>
          <w:tcPr>
            <w:tcW w:w="1701" w:type="dxa"/>
            <w:tcBorders>
              <w:top w:val="single" w:sz="4" w:space="0" w:color="auto"/>
              <w:bottom w:val="single" w:sz="4" w:space="0" w:color="auto"/>
            </w:tcBorders>
            <w:shd w:val="clear" w:color="auto" w:fill="E7E6E6"/>
            <w:vAlign w:val="center"/>
          </w:tcPr>
          <w:p w14:paraId="7E0EF3D2" w14:textId="77777777" w:rsidR="00E273AD" w:rsidRDefault="00E273AD" w:rsidP="00C820DE">
            <w:pPr>
              <w:spacing w:after="0"/>
              <w:jc w:val="center"/>
            </w:pPr>
            <w:r>
              <w:rPr>
                <w:rFonts w:eastAsia="Segoe UI"/>
                <w:b/>
                <w:sz w:val="18"/>
              </w:rPr>
              <w:t>Usia</w:t>
            </w:r>
          </w:p>
        </w:tc>
        <w:tc>
          <w:tcPr>
            <w:tcW w:w="1843" w:type="dxa"/>
            <w:tcBorders>
              <w:top w:val="single" w:sz="4" w:space="0" w:color="auto"/>
              <w:bottom w:val="single" w:sz="4" w:space="0" w:color="auto"/>
            </w:tcBorders>
            <w:shd w:val="clear" w:color="auto" w:fill="E7E6E6"/>
            <w:vAlign w:val="center"/>
          </w:tcPr>
          <w:p w14:paraId="1EACC557" w14:textId="77777777" w:rsidR="00E273AD" w:rsidRDefault="00E273AD" w:rsidP="00C820DE">
            <w:pPr>
              <w:spacing w:after="0"/>
              <w:jc w:val="center"/>
            </w:pPr>
            <w:r>
              <w:rPr>
                <w:rFonts w:eastAsia="Segoe UI"/>
                <w:b/>
                <w:sz w:val="18"/>
              </w:rPr>
              <w:t>Jenis Kelamin</w:t>
            </w:r>
          </w:p>
        </w:tc>
        <w:tc>
          <w:tcPr>
            <w:tcW w:w="2055" w:type="dxa"/>
            <w:tcBorders>
              <w:top w:val="single" w:sz="4" w:space="0" w:color="auto"/>
              <w:bottom w:val="single" w:sz="4" w:space="0" w:color="auto"/>
            </w:tcBorders>
            <w:shd w:val="clear" w:color="auto" w:fill="E7E6E6"/>
            <w:vAlign w:val="center"/>
          </w:tcPr>
          <w:p w14:paraId="651B4C6E" w14:textId="77777777" w:rsidR="00E273AD" w:rsidRDefault="00E273AD" w:rsidP="00C820DE">
            <w:pPr>
              <w:spacing w:after="0"/>
              <w:jc w:val="center"/>
            </w:pPr>
            <w:r>
              <w:rPr>
                <w:rFonts w:eastAsia="Segoe UI"/>
                <w:b/>
                <w:sz w:val="18"/>
              </w:rPr>
              <w:t>Frekuensi Kunjungan</w:t>
            </w:r>
          </w:p>
        </w:tc>
        <w:tc>
          <w:tcPr>
            <w:tcW w:w="2055" w:type="dxa"/>
            <w:tcBorders>
              <w:top w:val="single" w:sz="4" w:space="0" w:color="auto"/>
              <w:bottom w:val="single" w:sz="4" w:space="0" w:color="auto"/>
            </w:tcBorders>
            <w:shd w:val="clear" w:color="auto" w:fill="E7E6E6"/>
            <w:vAlign w:val="center"/>
          </w:tcPr>
          <w:p w14:paraId="63501025" w14:textId="77777777" w:rsidR="00E273AD" w:rsidRDefault="00E273AD" w:rsidP="00C820DE">
            <w:pPr>
              <w:spacing w:after="0"/>
              <w:jc w:val="center"/>
            </w:pPr>
            <w:r>
              <w:rPr>
                <w:rFonts w:eastAsia="Segoe UI"/>
                <w:b/>
                <w:sz w:val="18"/>
              </w:rPr>
              <w:t>Jenis Layanan</w:t>
            </w:r>
          </w:p>
        </w:tc>
      </w:tr>
      <w:tr w:rsidR="00E273AD" w14:paraId="2669D83B" w14:textId="77777777" w:rsidTr="00E273AD">
        <w:trPr>
          <w:cantSplit/>
          <w:jc w:val="center"/>
        </w:trPr>
        <w:tc>
          <w:tcPr>
            <w:tcW w:w="1413" w:type="dxa"/>
            <w:tcBorders>
              <w:top w:val="single" w:sz="4" w:space="0" w:color="auto"/>
            </w:tcBorders>
            <w:vAlign w:val="center"/>
          </w:tcPr>
          <w:p w14:paraId="3376458D" w14:textId="77777777" w:rsidR="00E273AD" w:rsidRDefault="00E273AD" w:rsidP="00C820DE">
            <w:pPr>
              <w:spacing w:after="0"/>
              <w:jc w:val="center"/>
            </w:pPr>
            <w:r>
              <w:rPr>
                <w:rFonts w:eastAsia="Segoe UI"/>
                <w:sz w:val="18"/>
              </w:rPr>
              <w:t>M</w:t>
            </w:r>
          </w:p>
        </w:tc>
        <w:tc>
          <w:tcPr>
            <w:tcW w:w="1701" w:type="dxa"/>
            <w:tcBorders>
              <w:top w:val="single" w:sz="4" w:space="0" w:color="auto"/>
            </w:tcBorders>
            <w:vAlign w:val="center"/>
          </w:tcPr>
          <w:p w14:paraId="5B56FEB9" w14:textId="77777777" w:rsidR="00E273AD" w:rsidRDefault="00E273AD" w:rsidP="00C820DE">
            <w:pPr>
              <w:spacing w:after="0"/>
              <w:jc w:val="center"/>
            </w:pPr>
            <w:r>
              <w:rPr>
                <w:rFonts w:eastAsia="Segoe UI"/>
                <w:sz w:val="18"/>
              </w:rPr>
              <w:t>20 tahun</w:t>
            </w:r>
          </w:p>
        </w:tc>
        <w:tc>
          <w:tcPr>
            <w:tcW w:w="1843" w:type="dxa"/>
            <w:tcBorders>
              <w:top w:val="single" w:sz="4" w:space="0" w:color="auto"/>
            </w:tcBorders>
            <w:vAlign w:val="center"/>
          </w:tcPr>
          <w:p w14:paraId="3376EA81" w14:textId="77777777" w:rsidR="00E273AD" w:rsidRDefault="00E273AD" w:rsidP="00C820DE">
            <w:pPr>
              <w:spacing w:after="0"/>
              <w:jc w:val="center"/>
            </w:pPr>
            <w:r>
              <w:rPr>
                <w:rFonts w:eastAsia="Segoe UI"/>
                <w:sz w:val="18"/>
              </w:rPr>
              <w:t>Laki-laki</w:t>
            </w:r>
          </w:p>
        </w:tc>
        <w:tc>
          <w:tcPr>
            <w:tcW w:w="2055" w:type="dxa"/>
            <w:tcBorders>
              <w:top w:val="single" w:sz="4" w:space="0" w:color="auto"/>
            </w:tcBorders>
            <w:vAlign w:val="center"/>
          </w:tcPr>
          <w:p w14:paraId="740F34E5" w14:textId="77777777" w:rsidR="00E273AD" w:rsidRDefault="00E273AD" w:rsidP="00C820DE">
            <w:pPr>
              <w:spacing w:after="0"/>
              <w:jc w:val="center"/>
            </w:pPr>
            <w:r>
              <w:rPr>
                <w:rFonts w:eastAsia="Segoe UI"/>
                <w:sz w:val="18"/>
              </w:rPr>
              <w:t>4 kali</w:t>
            </w:r>
          </w:p>
        </w:tc>
        <w:tc>
          <w:tcPr>
            <w:tcW w:w="2055" w:type="dxa"/>
            <w:tcBorders>
              <w:top w:val="single" w:sz="4" w:space="0" w:color="auto"/>
            </w:tcBorders>
            <w:vAlign w:val="center"/>
          </w:tcPr>
          <w:p w14:paraId="066D33D3" w14:textId="77777777" w:rsidR="00E273AD" w:rsidRDefault="00E273AD" w:rsidP="00C820DE">
            <w:pPr>
              <w:spacing w:after="0"/>
              <w:jc w:val="left"/>
            </w:pPr>
            <w:r>
              <w:rPr>
                <w:rFonts w:eastAsia="Segoe UI"/>
                <w:sz w:val="18"/>
              </w:rPr>
              <w:t>Tambal gigi</w:t>
            </w:r>
          </w:p>
        </w:tc>
      </w:tr>
      <w:tr w:rsidR="00E273AD" w14:paraId="41C00A9D" w14:textId="77777777" w:rsidTr="00E273AD">
        <w:trPr>
          <w:cantSplit/>
          <w:jc w:val="center"/>
        </w:trPr>
        <w:tc>
          <w:tcPr>
            <w:tcW w:w="1413" w:type="dxa"/>
            <w:vAlign w:val="center"/>
          </w:tcPr>
          <w:p w14:paraId="45991A36" w14:textId="77777777" w:rsidR="00E273AD" w:rsidRDefault="00E273AD" w:rsidP="00C820DE">
            <w:pPr>
              <w:spacing w:after="0"/>
              <w:jc w:val="center"/>
            </w:pPr>
            <w:r>
              <w:rPr>
                <w:rFonts w:eastAsia="Segoe UI"/>
                <w:sz w:val="18"/>
              </w:rPr>
              <w:t>NG</w:t>
            </w:r>
          </w:p>
        </w:tc>
        <w:tc>
          <w:tcPr>
            <w:tcW w:w="1701" w:type="dxa"/>
            <w:vAlign w:val="center"/>
          </w:tcPr>
          <w:p w14:paraId="1D8F6E19" w14:textId="77777777" w:rsidR="00E273AD" w:rsidRDefault="00E273AD" w:rsidP="00C820DE">
            <w:pPr>
              <w:spacing w:after="0"/>
              <w:jc w:val="center"/>
            </w:pPr>
            <w:r>
              <w:rPr>
                <w:rFonts w:eastAsia="Segoe UI"/>
                <w:sz w:val="18"/>
              </w:rPr>
              <w:t>23 tahun</w:t>
            </w:r>
          </w:p>
        </w:tc>
        <w:tc>
          <w:tcPr>
            <w:tcW w:w="1843" w:type="dxa"/>
            <w:vAlign w:val="center"/>
          </w:tcPr>
          <w:p w14:paraId="227F7ED0" w14:textId="77777777" w:rsidR="00E273AD" w:rsidRDefault="00E273AD" w:rsidP="00C820DE">
            <w:pPr>
              <w:spacing w:after="0"/>
              <w:jc w:val="center"/>
            </w:pPr>
            <w:r>
              <w:rPr>
                <w:rFonts w:eastAsia="Segoe UI"/>
                <w:sz w:val="18"/>
              </w:rPr>
              <w:t>Perempuan</w:t>
            </w:r>
          </w:p>
        </w:tc>
        <w:tc>
          <w:tcPr>
            <w:tcW w:w="2055" w:type="dxa"/>
            <w:vAlign w:val="center"/>
          </w:tcPr>
          <w:p w14:paraId="1030C137" w14:textId="77777777" w:rsidR="00E273AD" w:rsidRDefault="00E273AD" w:rsidP="00C820DE">
            <w:pPr>
              <w:spacing w:after="0"/>
              <w:jc w:val="center"/>
            </w:pPr>
            <w:r>
              <w:rPr>
                <w:rFonts w:eastAsia="Segoe UI"/>
                <w:sz w:val="18"/>
              </w:rPr>
              <w:t>1 kali</w:t>
            </w:r>
          </w:p>
        </w:tc>
        <w:tc>
          <w:tcPr>
            <w:tcW w:w="2055" w:type="dxa"/>
            <w:vAlign w:val="center"/>
          </w:tcPr>
          <w:p w14:paraId="397111AE" w14:textId="77777777" w:rsidR="00E273AD" w:rsidRDefault="00E273AD" w:rsidP="00C820DE">
            <w:pPr>
              <w:spacing w:after="0"/>
              <w:jc w:val="left"/>
            </w:pPr>
            <w:r>
              <w:rPr>
                <w:rFonts w:eastAsia="Segoe UI"/>
                <w:sz w:val="18"/>
              </w:rPr>
              <w:t>Pelayanan gigi berlubang</w:t>
            </w:r>
          </w:p>
        </w:tc>
      </w:tr>
      <w:tr w:rsidR="00E273AD" w14:paraId="0A1AD3E7" w14:textId="77777777" w:rsidTr="00E273AD">
        <w:trPr>
          <w:cantSplit/>
          <w:jc w:val="center"/>
        </w:trPr>
        <w:tc>
          <w:tcPr>
            <w:tcW w:w="1413" w:type="dxa"/>
            <w:vAlign w:val="center"/>
          </w:tcPr>
          <w:p w14:paraId="7F641108" w14:textId="77777777" w:rsidR="00E273AD" w:rsidRDefault="00E273AD" w:rsidP="00C820DE">
            <w:pPr>
              <w:spacing w:after="0"/>
              <w:jc w:val="center"/>
            </w:pPr>
            <w:r>
              <w:rPr>
                <w:rFonts w:eastAsia="Segoe UI"/>
                <w:sz w:val="18"/>
              </w:rPr>
              <w:t>P</w:t>
            </w:r>
          </w:p>
        </w:tc>
        <w:tc>
          <w:tcPr>
            <w:tcW w:w="1701" w:type="dxa"/>
            <w:vAlign w:val="center"/>
          </w:tcPr>
          <w:p w14:paraId="3CEE649B" w14:textId="77777777" w:rsidR="00E273AD" w:rsidRDefault="00E273AD" w:rsidP="00C820DE">
            <w:pPr>
              <w:spacing w:after="0"/>
              <w:jc w:val="center"/>
            </w:pPr>
            <w:r>
              <w:rPr>
                <w:rFonts w:eastAsia="Segoe UI"/>
                <w:sz w:val="18"/>
              </w:rPr>
              <w:t>29 tahun</w:t>
            </w:r>
          </w:p>
        </w:tc>
        <w:tc>
          <w:tcPr>
            <w:tcW w:w="1843" w:type="dxa"/>
            <w:vAlign w:val="center"/>
          </w:tcPr>
          <w:p w14:paraId="20965C29" w14:textId="77777777" w:rsidR="00E273AD" w:rsidRDefault="00E273AD" w:rsidP="00C820DE">
            <w:pPr>
              <w:spacing w:after="0"/>
              <w:jc w:val="center"/>
            </w:pPr>
            <w:r>
              <w:rPr>
                <w:rFonts w:eastAsia="Segoe UI"/>
                <w:sz w:val="18"/>
              </w:rPr>
              <w:t>Perempuan</w:t>
            </w:r>
          </w:p>
        </w:tc>
        <w:tc>
          <w:tcPr>
            <w:tcW w:w="2055" w:type="dxa"/>
            <w:vAlign w:val="center"/>
          </w:tcPr>
          <w:p w14:paraId="435A602B" w14:textId="77777777" w:rsidR="00E273AD" w:rsidRDefault="00E273AD" w:rsidP="00C820DE">
            <w:pPr>
              <w:spacing w:after="0"/>
              <w:jc w:val="center"/>
            </w:pPr>
            <w:r>
              <w:rPr>
                <w:rFonts w:eastAsia="Segoe UI"/>
                <w:sz w:val="18"/>
              </w:rPr>
              <w:t>2 kali</w:t>
            </w:r>
          </w:p>
        </w:tc>
        <w:tc>
          <w:tcPr>
            <w:tcW w:w="2055" w:type="dxa"/>
            <w:vAlign w:val="center"/>
          </w:tcPr>
          <w:p w14:paraId="7D283233" w14:textId="77777777" w:rsidR="00E273AD" w:rsidRDefault="00E273AD" w:rsidP="00C820DE">
            <w:pPr>
              <w:spacing w:after="0"/>
              <w:jc w:val="left"/>
            </w:pPr>
            <w:r>
              <w:rPr>
                <w:rFonts w:eastAsia="Segoe UI"/>
                <w:sz w:val="18"/>
              </w:rPr>
              <w:t>Pelayanan gigi berlubang</w:t>
            </w:r>
          </w:p>
        </w:tc>
      </w:tr>
      <w:tr w:rsidR="00E273AD" w14:paraId="0827F32B" w14:textId="77777777" w:rsidTr="00E273AD">
        <w:trPr>
          <w:cantSplit/>
          <w:jc w:val="center"/>
        </w:trPr>
        <w:tc>
          <w:tcPr>
            <w:tcW w:w="1413" w:type="dxa"/>
            <w:vAlign w:val="center"/>
          </w:tcPr>
          <w:p w14:paraId="424004AF" w14:textId="77777777" w:rsidR="00E273AD" w:rsidRDefault="00E273AD" w:rsidP="00C820DE">
            <w:pPr>
              <w:spacing w:after="0"/>
              <w:jc w:val="center"/>
            </w:pPr>
            <w:r>
              <w:rPr>
                <w:rFonts w:eastAsia="Segoe UI"/>
                <w:sz w:val="18"/>
              </w:rPr>
              <w:t>Valen</w:t>
            </w:r>
          </w:p>
        </w:tc>
        <w:tc>
          <w:tcPr>
            <w:tcW w:w="1701" w:type="dxa"/>
            <w:vAlign w:val="center"/>
          </w:tcPr>
          <w:p w14:paraId="2D007728" w14:textId="77777777" w:rsidR="00E273AD" w:rsidRDefault="00E273AD" w:rsidP="00C820DE">
            <w:pPr>
              <w:spacing w:after="0"/>
              <w:jc w:val="center"/>
            </w:pPr>
            <w:r>
              <w:rPr>
                <w:rFonts w:eastAsia="Segoe UI"/>
                <w:sz w:val="18"/>
              </w:rPr>
              <w:t>20 tahun</w:t>
            </w:r>
          </w:p>
        </w:tc>
        <w:tc>
          <w:tcPr>
            <w:tcW w:w="1843" w:type="dxa"/>
            <w:vAlign w:val="center"/>
          </w:tcPr>
          <w:p w14:paraId="05E7FB3F" w14:textId="77777777" w:rsidR="00E273AD" w:rsidRDefault="00E273AD" w:rsidP="00C820DE">
            <w:pPr>
              <w:spacing w:after="0"/>
              <w:jc w:val="center"/>
            </w:pPr>
            <w:r>
              <w:rPr>
                <w:rFonts w:eastAsia="Segoe UI"/>
                <w:sz w:val="18"/>
              </w:rPr>
              <w:t>Perempuan</w:t>
            </w:r>
          </w:p>
        </w:tc>
        <w:tc>
          <w:tcPr>
            <w:tcW w:w="2055" w:type="dxa"/>
            <w:vAlign w:val="center"/>
          </w:tcPr>
          <w:p w14:paraId="2F9E5ED4" w14:textId="77777777" w:rsidR="00E273AD" w:rsidRDefault="00E273AD" w:rsidP="00C820DE">
            <w:pPr>
              <w:spacing w:after="0"/>
              <w:jc w:val="center"/>
            </w:pPr>
            <w:r>
              <w:rPr>
                <w:rFonts w:eastAsia="Segoe UI"/>
                <w:sz w:val="18"/>
              </w:rPr>
              <w:t>3 kali</w:t>
            </w:r>
          </w:p>
        </w:tc>
        <w:tc>
          <w:tcPr>
            <w:tcW w:w="2055" w:type="dxa"/>
            <w:vAlign w:val="center"/>
          </w:tcPr>
          <w:p w14:paraId="69A8B4AB" w14:textId="77777777" w:rsidR="00E273AD" w:rsidRDefault="00E273AD" w:rsidP="00C820DE">
            <w:pPr>
              <w:spacing w:after="0"/>
              <w:jc w:val="left"/>
            </w:pPr>
            <w:r>
              <w:rPr>
                <w:rFonts w:eastAsia="Segoe UI"/>
                <w:sz w:val="18"/>
              </w:rPr>
              <w:t>Kontrol gigi</w:t>
            </w:r>
          </w:p>
        </w:tc>
      </w:tr>
    </w:tbl>
    <w:p w14:paraId="78CAA011" w14:textId="77777777" w:rsidR="00E273AD" w:rsidRPr="00E273AD" w:rsidRDefault="00E273AD" w:rsidP="00E273AD">
      <w:pPr>
        <w:spacing w:before="100" w:after="60"/>
        <w:ind w:left="567"/>
        <w:jc w:val="left"/>
        <w:rPr>
          <w:sz w:val="24"/>
          <w:szCs w:val="24"/>
        </w:rPr>
      </w:pPr>
      <w:r w:rsidRPr="00E273AD">
        <w:rPr>
          <w:rFonts w:eastAsia="Segoe UI"/>
          <w:b/>
          <w:sz w:val="24"/>
          <w:szCs w:val="24"/>
        </w:rPr>
        <w:t>2.3 Teknik Pengumpulan Data</w:t>
      </w:r>
    </w:p>
    <w:p w14:paraId="106BB3A6" w14:textId="77777777" w:rsidR="00E273AD" w:rsidRPr="00E273AD" w:rsidRDefault="00E273AD" w:rsidP="00E273AD">
      <w:pPr>
        <w:pStyle w:val="IEEEParagraph"/>
        <w:spacing w:after="40"/>
        <w:ind w:left="720" w:firstLine="425"/>
        <w:rPr>
          <w:lang w:val="sv-SE"/>
        </w:rPr>
      </w:pPr>
      <w:r w:rsidRPr="00E273AD">
        <w:rPr>
          <w:rFonts w:ascii="Segoe UI" w:eastAsia="Segoe UI" w:hAnsi="Segoe UI"/>
          <w:sz w:val="22"/>
          <w:lang w:val="sv-SE"/>
        </w:rPr>
        <w:t>Data empiris utama yang dianalisis berasal dari lembar pertanyaan wawancara/kuesioner terbuka yang diisi pasien. Instrumen memuat pertanyaan mengenai kepuasan keseluruhan, profesionalisme dokter, keramahan, kejelasan informasi, ketepatan pelayanan, keamanan, komunikasi, empati, kebersihan, kenyamanan ruang tunggu, kelengkapan fasilitas, kecepatan pelayanan, ketanggapan petugas, penanganan keluhan, kemudahan administrasi, faktor kepuasan, faktor ketidakpuasan, harapan, dan saran perbaikan. Desain tugas akhir juga mencantumkan wawancara semi-terstruktur, observasi, dan dokumentasi sebagai teknik pendukung. Namun, karena hasil wawancara pengelola, dokter, atau staf tidak tersedia pada basis data Bab IV, artikel ini membatasi analisis empiris pada suara pasien yang tersedia dan tidak mengklaim program manajerial yang telah dilaksanakan secara faktual oleh pengelola.</w:t>
      </w:r>
    </w:p>
    <w:p w14:paraId="0ED7AA5E" w14:textId="77777777" w:rsidR="00E273AD" w:rsidRPr="00E273AD" w:rsidRDefault="00E273AD" w:rsidP="00E273AD">
      <w:pPr>
        <w:spacing w:before="100" w:after="60"/>
        <w:ind w:left="567"/>
        <w:jc w:val="left"/>
        <w:rPr>
          <w:sz w:val="24"/>
          <w:szCs w:val="24"/>
        </w:rPr>
      </w:pPr>
      <w:r w:rsidRPr="00E273AD">
        <w:rPr>
          <w:rFonts w:eastAsia="Segoe UI"/>
          <w:b/>
          <w:sz w:val="24"/>
          <w:szCs w:val="24"/>
        </w:rPr>
        <w:t>2.4 Teknik Analisis Data dan Keabsahan</w:t>
      </w:r>
    </w:p>
    <w:p w14:paraId="02AFA16F" w14:textId="77777777" w:rsidR="00E273AD" w:rsidRPr="00E273AD" w:rsidRDefault="00E273AD" w:rsidP="00E273AD">
      <w:pPr>
        <w:pStyle w:val="IEEEParagraph"/>
        <w:spacing w:after="40"/>
        <w:ind w:left="720" w:firstLine="425"/>
        <w:rPr>
          <w:lang w:val="sv-SE"/>
        </w:rPr>
      </w:pPr>
      <w:r w:rsidRPr="00E273AD">
        <w:rPr>
          <w:rFonts w:ascii="Segoe UI" w:eastAsia="Segoe UI" w:hAnsi="Segoe UI"/>
          <w:sz w:val="22"/>
          <w:lang w:val="sv-SE"/>
        </w:rPr>
        <w:t>Analisis data mengikuti model interaktif Miles, Huberman, dan Saldaña melalui tiga tahapan utama: reduksi data, penyajian data, dan penarikan kesimpulan/verifikasi (Miles et al., 2014). Jawaban informan dibaca berulang, dikelompokkan berdasarkan tema, kemudian dipetakan ke lima dimensi SERVQUAL. Analisis diarahkan pada pola makna, konsistensi jawaban lintas informan, variasi pengalaman, dan isu perbaikan yang berulang. Karena jawaban informan relatif singkat dan homogen, penyebutan “5 dari 5 informan” diperlakukan sebagai indikator konvergensi data dan tidak digunakan sebagai persentase populasi atau dasar generalisasi statistik. Keabsahan data pada rancangan penelitian menggunakan triangulasi sumber, teknik, dan waktu serta pengecekan ulang hasil wawancara. Interpretasi artikel tetap mempertahankan batasan data yang tersedia sehingga kesimpulan diarahkan pada kualitas yang dirasakan pelanggan, bukan audit mutu klinis objektif.</w:t>
      </w:r>
    </w:p>
    <w:p w14:paraId="16158661" w14:textId="77777777" w:rsidR="00E273AD" w:rsidRDefault="00E273AD" w:rsidP="00955050">
      <w:pPr>
        <w:pStyle w:val="IEEEParagraph"/>
        <w:tabs>
          <w:tab w:val="left" w:pos="9356"/>
        </w:tabs>
        <w:ind w:left="567" w:right="322" w:firstLine="567"/>
        <w:rPr>
          <w:rStyle w:val="mediumtext"/>
          <w:rFonts w:ascii="Segoe UI" w:hAnsi="Segoe UI" w:cs="Segoe UI"/>
          <w:sz w:val="22"/>
          <w:szCs w:val="22"/>
          <w:lang w:val="sv-SE"/>
        </w:rPr>
      </w:pPr>
    </w:p>
    <w:p w14:paraId="539E6AC9" w14:textId="77777777" w:rsidR="00E273AD" w:rsidRDefault="00E273AD" w:rsidP="00955050">
      <w:pPr>
        <w:pStyle w:val="IEEEParagraph"/>
        <w:tabs>
          <w:tab w:val="left" w:pos="9356"/>
        </w:tabs>
        <w:ind w:left="567" w:right="322" w:firstLine="567"/>
        <w:rPr>
          <w:rStyle w:val="mediumtext"/>
          <w:rFonts w:ascii="Segoe UI" w:hAnsi="Segoe UI" w:cs="Segoe UI"/>
          <w:sz w:val="22"/>
          <w:szCs w:val="22"/>
          <w:lang w:val="sv-SE"/>
        </w:rPr>
      </w:pPr>
    </w:p>
    <w:p w14:paraId="12B5585A" w14:textId="6E9841B4" w:rsidR="001E0508" w:rsidRPr="001C62FB" w:rsidRDefault="006F0069" w:rsidP="006F0069">
      <w:pPr>
        <w:pStyle w:val="Judul3"/>
        <w:ind w:left="1134" w:hanging="283"/>
      </w:pPr>
      <w:r w:rsidRPr="001C62FB">
        <w:rPr>
          <w:iCs/>
        </w:rPr>
        <w:lastRenderedPageBreak/>
        <w:t>HASIL DA</w:t>
      </w:r>
      <w:r w:rsidRPr="001C62FB">
        <w:t>N PEMBAHASAN</w:t>
      </w:r>
    </w:p>
    <w:p w14:paraId="38DFE059" w14:textId="77777777" w:rsidR="00E273AD" w:rsidRPr="00E273AD" w:rsidRDefault="00E273AD" w:rsidP="00E273AD">
      <w:pPr>
        <w:spacing w:before="100" w:after="60"/>
        <w:ind w:left="567"/>
        <w:jc w:val="left"/>
        <w:rPr>
          <w:i/>
          <w:iCs/>
          <w:sz w:val="24"/>
          <w:szCs w:val="24"/>
        </w:rPr>
      </w:pPr>
      <w:r w:rsidRPr="00E273AD">
        <w:rPr>
          <w:rFonts w:eastAsia="Segoe UI"/>
          <w:b/>
          <w:i/>
          <w:iCs/>
          <w:sz w:val="24"/>
          <w:szCs w:val="24"/>
        </w:rPr>
        <w:t>3.1 Karakteristik Informan</w:t>
      </w:r>
    </w:p>
    <w:p w14:paraId="7FAE95F0" w14:textId="77777777" w:rsidR="00E273AD" w:rsidRPr="00E273AD" w:rsidRDefault="00E273AD" w:rsidP="00E273AD">
      <w:pPr>
        <w:pStyle w:val="IEEEParagraph"/>
        <w:spacing w:after="40"/>
        <w:ind w:left="567" w:firstLine="425"/>
        <w:rPr>
          <w:lang w:val="sv-SE"/>
        </w:rPr>
      </w:pPr>
      <w:r w:rsidRPr="00E273AD">
        <w:rPr>
          <w:rFonts w:ascii="Segoe UI" w:eastAsia="Segoe UI" w:hAnsi="Segoe UI"/>
          <w:sz w:val="22"/>
          <w:lang w:val="sv-SE"/>
        </w:rPr>
        <w:t>Kelima informan berusia 20–36 tahun, terdiri atas tiga perempuan dan dua laki-laki. Frekuensi kunjungan berkisar satu sampai empat kali, sehingga basis data mencakup pasien yang baru pertama berkunjung maupun pasien yang telah mengalami kunjungan berulang. Jenis layanan meliputi tambal gigi, penanganan gigi berlubang, kontrol, dan cabut gigi. Variasi tersebut memberikan gambaran pengalaman pada layanan kuratif sederhana dan kontrol. Kesamaan penilaian antara pasien baru dan pasien yang telah melakukan kunjungan ulang memberi indikasi konsistensi pengalaman pelayanan, tetapi temuan tetap harus dibaca hati-hati karena jumlah informan terbatas dan belum mencakup pasien yang memutuskan tidak kembali.</w:t>
      </w:r>
    </w:p>
    <w:p w14:paraId="67BB0FB2" w14:textId="77777777" w:rsidR="00E273AD" w:rsidRDefault="00E273AD" w:rsidP="00E273AD">
      <w:pPr>
        <w:spacing w:before="100" w:after="60"/>
        <w:ind w:left="567"/>
        <w:jc w:val="left"/>
      </w:pPr>
      <w:r>
        <w:rPr>
          <w:rFonts w:eastAsia="Segoe UI"/>
          <w:b/>
          <w:sz w:val="21"/>
        </w:rPr>
        <w:t>3.2 Kualitas Pelayanan Berdasarkan Dimensi SERVQUAL</w:t>
      </w:r>
    </w:p>
    <w:p w14:paraId="0E561514" w14:textId="77777777" w:rsidR="00E273AD" w:rsidRPr="00E273AD" w:rsidRDefault="00E273AD" w:rsidP="00E273AD">
      <w:pPr>
        <w:pStyle w:val="IEEEParagraph"/>
        <w:spacing w:after="40"/>
        <w:ind w:left="720" w:firstLine="425"/>
        <w:rPr>
          <w:lang w:val="sv-SE"/>
        </w:rPr>
      </w:pPr>
      <w:r w:rsidRPr="00E273AD">
        <w:rPr>
          <w:rFonts w:ascii="Segoe UI" w:eastAsia="Segoe UI" w:hAnsi="Segoe UI"/>
          <w:sz w:val="22"/>
          <w:lang w:val="sv-SE"/>
        </w:rPr>
        <w:t>Hasil pengodean memperlihatkan pola yang jelas: empat dimensi yang terutama merepresentasikan proses dan interaksi pelayanan—reliability, responsiveness, assurance, dan empathy—dinilai positif secara konsisten, sedangkan tangibles memperlihatkan pola positif-kritis. Pelanggan menilai kebersihan, kondisi peralatan, penampilan dokter dan staf, serta petunjuk informasi sebagai hal yang baik, tetapi secara berulang mengidentifikasi ruang tunggu dan parkir sebagai titik yang perlu diperbaiki. Pola tersebut menunjukkan bahwa pelanggan dapat merasa puas terhadap layanan inti sekaligus tetap menyadari keterbatasan fasilitas pendukung.</w:t>
      </w:r>
    </w:p>
    <w:p w14:paraId="17736BF2" w14:textId="77777777" w:rsidR="00E273AD" w:rsidRDefault="00E273AD" w:rsidP="00E273AD">
      <w:pPr>
        <w:spacing w:before="40" w:after="20"/>
        <w:jc w:val="center"/>
      </w:pPr>
      <w:r>
        <w:rPr>
          <w:rFonts w:eastAsia="Segoe UI"/>
          <w:sz w:val="20"/>
        </w:rPr>
        <w:t>Tabel 2. Sintesis Kualitas Pelayanan Berdasarkan SERVQUAL</w:t>
      </w:r>
    </w:p>
    <w:tbl>
      <w:tblPr>
        <w:tblW w:w="0" w:type="auto"/>
        <w:tblInd w:w="704" w:type="dxa"/>
        <w:tblBorders>
          <w:top w:val="single" w:sz="4" w:space="0" w:color="auto"/>
          <w:bottom w:val="single" w:sz="4" w:space="0" w:color="auto"/>
        </w:tblBorders>
        <w:tblLook w:val="04A0" w:firstRow="1" w:lastRow="0" w:firstColumn="1" w:lastColumn="0" w:noHBand="0" w:noVBand="1"/>
      </w:tblPr>
      <w:tblGrid>
        <w:gridCol w:w="1838"/>
        <w:gridCol w:w="2568"/>
        <w:gridCol w:w="2571"/>
        <w:gridCol w:w="2568"/>
      </w:tblGrid>
      <w:tr w:rsidR="00E273AD" w14:paraId="46CA6ED5" w14:textId="77777777" w:rsidTr="00E273AD">
        <w:trPr>
          <w:cantSplit/>
        </w:trPr>
        <w:tc>
          <w:tcPr>
            <w:tcW w:w="1838" w:type="dxa"/>
            <w:tcBorders>
              <w:top w:val="single" w:sz="4" w:space="0" w:color="auto"/>
              <w:bottom w:val="single" w:sz="4" w:space="0" w:color="auto"/>
            </w:tcBorders>
            <w:shd w:val="clear" w:color="auto" w:fill="E7E6E6"/>
            <w:vAlign w:val="center"/>
          </w:tcPr>
          <w:p w14:paraId="4200E7EC" w14:textId="77777777" w:rsidR="00E273AD" w:rsidRDefault="00E273AD" w:rsidP="00C820DE">
            <w:pPr>
              <w:spacing w:after="0"/>
              <w:jc w:val="center"/>
            </w:pPr>
            <w:r>
              <w:rPr>
                <w:rFonts w:eastAsia="Segoe UI"/>
                <w:b/>
                <w:sz w:val="18"/>
              </w:rPr>
              <w:t>Dimensi</w:t>
            </w:r>
          </w:p>
        </w:tc>
        <w:tc>
          <w:tcPr>
            <w:tcW w:w="2568" w:type="dxa"/>
            <w:tcBorders>
              <w:top w:val="single" w:sz="4" w:space="0" w:color="auto"/>
              <w:bottom w:val="single" w:sz="4" w:space="0" w:color="auto"/>
            </w:tcBorders>
            <w:shd w:val="clear" w:color="auto" w:fill="E7E6E6"/>
            <w:vAlign w:val="center"/>
          </w:tcPr>
          <w:p w14:paraId="37CE2DBD" w14:textId="77777777" w:rsidR="00E273AD" w:rsidRDefault="00E273AD" w:rsidP="00C820DE">
            <w:pPr>
              <w:spacing w:after="0"/>
              <w:jc w:val="center"/>
            </w:pPr>
            <w:r>
              <w:rPr>
                <w:rFonts w:eastAsia="Segoe UI"/>
                <w:b/>
                <w:sz w:val="18"/>
              </w:rPr>
              <w:t>Temuan Utama</w:t>
            </w:r>
          </w:p>
        </w:tc>
        <w:tc>
          <w:tcPr>
            <w:tcW w:w="2571" w:type="dxa"/>
            <w:tcBorders>
              <w:top w:val="single" w:sz="4" w:space="0" w:color="auto"/>
              <w:bottom w:val="single" w:sz="4" w:space="0" w:color="auto"/>
            </w:tcBorders>
            <w:shd w:val="clear" w:color="auto" w:fill="E7E6E6"/>
            <w:vAlign w:val="center"/>
          </w:tcPr>
          <w:p w14:paraId="7BBD7FCD" w14:textId="77777777" w:rsidR="00E273AD" w:rsidRDefault="00E273AD" w:rsidP="00C820DE">
            <w:pPr>
              <w:spacing w:after="0"/>
              <w:jc w:val="center"/>
            </w:pPr>
            <w:r>
              <w:rPr>
                <w:rFonts w:eastAsia="Segoe UI"/>
                <w:b/>
                <w:sz w:val="18"/>
              </w:rPr>
              <w:t>Kesenjangan/Keterbatasan</w:t>
            </w:r>
          </w:p>
        </w:tc>
        <w:tc>
          <w:tcPr>
            <w:tcW w:w="2568" w:type="dxa"/>
            <w:tcBorders>
              <w:top w:val="single" w:sz="4" w:space="0" w:color="auto"/>
              <w:bottom w:val="single" w:sz="4" w:space="0" w:color="auto"/>
            </w:tcBorders>
            <w:shd w:val="clear" w:color="auto" w:fill="E7E6E6"/>
            <w:vAlign w:val="center"/>
          </w:tcPr>
          <w:p w14:paraId="2FDCDB00" w14:textId="77777777" w:rsidR="00E273AD" w:rsidRDefault="00E273AD" w:rsidP="00C820DE">
            <w:pPr>
              <w:spacing w:after="0"/>
              <w:jc w:val="center"/>
            </w:pPr>
            <w:r>
              <w:rPr>
                <w:rFonts w:eastAsia="Segoe UI"/>
                <w:b/>
                <w:sz w:val="18"/>
              </w:rPr>
              <w:t>Makna Manajerial</w:t>
            </w:r>
          </w:p>
        </w:tc>
      </w:tr>
      <w:tr w:rsidR="00E273AD" w14:paraId="04D3D091" w14:textId="77777777" w:rsidTr="00E273AD">
        <w:trPr>
          <w:cantSplit/>
        </w:trPr>
        <w:tc>
          <w:tcPr>
            <w:tcW w:w="1838" w:type="dxa"/>
            <w:tcBorders>
              <w:top w:val="single" w:sz="4" w:space="0" w:color="auto"/>
            </w:tcBorders>
            <w:vAlign w:val="center"/>
          </w:tcPr>
          <w:p w14:paraId="5F0AC76E" w14:textId="77777777" w:rsidR="00E273AD" w:rsidRDefault="00E273AD" w:rsidP="00C820DE">
            <w:pPr>
              <w:spacing w:after="0"/>
              <w:jc w:val="left"/>
            </w:pPr>
            <w:r>
              <w:rPr>
                <w:rFonts w:eastAsia="Segoe UI"/>
                <w:sz w:val="17"/>
              </w:rPr>
              <w:t>Tangibles</w:t>
            </w:r>
          </w:p>
        </w:tc>
        <w:tc>
          <w:tcPr>
            <w:tcW w:w="2568" w:type="dxa"/>
            <w:tcBorders>
              <w:top w:val="single" w:sz="4" w:space="0" w:color="auto"/>
            </w:tcBorders>
            <w:vAlign w:val="center"/>
          </w:tcPr>
          <w:p w14:paraId="3B91AFF0" w14:textId="77777777" w:rsidR="00E273AD" w:rsidRDefault="00E273AD" w:rsidP="00C820DE">
            <w:pPr>
              <w:spacing w:after="0"/>
              <w:jc w:val="left"/>
            </w:pPr>
            <w:r>
              <w:rPr>
                <w:rFonts w:eastAsia="Segoe UI"/>
                <w:sz w:val="17"/>
              </w:rPr>
              <w:t>Kebersihan, alat, penampilan, dan informasi dinilai baik.</w:t>
            </w:r>
          </w:p>
        </w:tc>
        <w:tc>
          <w:tcPr>
            <w:tcW w:w="2571" w:type="dxa"/>
            <w:tcBorders>
              <w:top w:val="single" w:sz="4" w:space="0" w:color="auto"/>
            </w:tcBorders>
            <w:vAlign w:val="center"/>
          </w:tcPr>
          <w:p w14:paraId="5F175005" w14:textId="77777777" w:rsidR="00E273AD" w:rsidRDefault="00E273AD" w:rsidP="00C820DE">
            <w:pPr>
              <w:spacing w:after="0"/>
              <w:jc w:val="left"/>
            </w:pPr>
            <w:r>
              <w:rPr>
                <w:rFonts w:eastAsia="Segoe UI"/>
                <w:sz w:val="17"/>
              </w:rPr>
              <w:t>Ruang tunggu kecil/terbatas dan kesulitan parkir.</w:t>
            </w:r>
          </w:p>
        </w:tc>
        <w:tc>
          <w:tcPr>
            <w:tcW w:w="2568" w:type="dxa"/>
            <w:tcBorders>
              <w:top w:val="single" w:sz="4" w:space="0" w:color="auto"/>
            </w:tcBorders>
            <w:vAlign w:val="center"/>
          </w:tcPr>
          <w:p w14:paraId="1C65B4BF" w14:textId="77777777" w:rsidR="00E273AD" w:rsidRDefault="00E273AD" w:rsidP="00C820DE">
            <w:pPr>
              <w:spacing w:after="0"/>
              <w:jc w:val="left"/>
            </w:pPr>
            <w:r>
              <w:rPr>
                <w:rFonts w:eastAsia="Segoe UI"/>
                <w:sz w:val="17"/>
              </w:rPr>
              <w:t>Perbaikan struktur fisik menjadi prioritas.</w:t>
            </w:r>
          </w:p>
        </w:tc>
      </w:tr>
      <w:tr w:rsidR="00E273AD" w14:paraId="37E31062" w14:textId="77777777" w:rsidTr="00E273AD">
        <w:trPr>
          <w:cantSplit/>
        </w:trPr>
        <w:tc>
          <w:tcPr>
            <w:tcW w:w="1838" w:type="dxa"/>
            <w:vAlign w:val="center"/>
          </w:tcPr>
          <w:p w14:paraId="4CF50199" w14:textId="77777777" w:rsidR="00E273AD" w:rsidRDefault="00E273AD" w:rsidP="00C820DE">
            <w:pPr>
              <w:spacing w:after="0"/>
              <w:jc w:val="left"/>
            </w:pPr>
            <w:r>
              <w:rPr>
                <w:rFonts w:eastAsia="Segoe UI"/>
                <w:sz w:val="17"/>
              </w:rPr>
              <w:t>Reliability</w:t>
            </w:r>
          </w:p>
        </w:tc>
        <w:tc>
          <w:tcPr>
            <w:tcW w:w="2568" w:type="dxa"/>
            <w:vAlign w:val="center"/>
          </w:tcPr>
          <w:p w14:paraId="6E4B29E3" w14:textId="77777777" w:rsidR="00E273AD" w:rsidRDefault="00E273AD" w:rsidP="00C820DE">
            <w:pPr>
              <w:spacing w:after="0"/>
              <w:jc w:val="left"/>
            </w:pPr>
            <w:r>
              <w:rPr>
                <w:rFonts w:eastAsia="Segoe UI"/>
                <w:sz w:val="17"/>
              </w:rPr>
              <w:t>Janji, jadwal, informasi, administrasi, hasil, dan kepercayaan dinilai konsisten.</w:t>
            </w:r>
          </w:p>
        </w:tc>
        <w:tc>
          <w:tcPr>
            <w:tcW w:w="2571" w:type="dxa"/>
            <w:vAlign w:val="center"/>
          </w:tcPr>
          <w:p w14:paraId="5492EB77" w14:textId="77777777" w:rsidR="00E273AD" w:rsidRDefault="00E273AD" w:rsidP="00C820DE">
            <w:pPr>
              <w:spacing w:after="0"/>
              <w:jc w:val="left"/>
            </w:pPr>
            <w:r>
              <w:rPr>
                <w:rFonts w:eastAsia="Segoe UI"/>
                <w:sz w:val="17"/>
              </w:rPr>
              <w:t>Tidak terdapat keluhan negatif yang menonjol pada data tersedia.</w:t>
            </w:r>
          </w:p>
        </w:tc>
        <w:tc>
          <w:tcPr>
            <w:tcW w:w="2568" w:type="dxa"/>
            <w:vAlign w:val="center"/>
          </w:tcPr>
          <w:p w14:paraId="236013C4" w14:textId="77777777" w:rsidR="00E273AD" w:rsidRDefault="00E273AD" w:rsidP="00C820DE">
            <w:pPr>
              <w:spacing w:after="0"/>
              <w:jc w:val="left"/>
            </w:pPr>
            <w:r>
              <w:rPr>
                <w:rFonts w:eastAsia="Segoe UI"/>
                <w:sz w:val="17"/>
              </w:rPr>
              <w:t>Pertahankan standardisasi proses dan ketepatan jadwal.</w:t>
            </w:r>
          </w:p>
        </w:tc>
      </w:tr>
      <w:tr w:rsidR="00E273AD" w14:paraId="5D28F39D" w14:textId="77777777" w:rsidTr="00E273AD">
        <w:trPr>
          <w:cantSplit/>
        </w:trPr>
        <w:tc>
          <w:tcPr>
            <w:tcW w:w="1838" w:type="dxa"/>
            <w:vAlign w:val="center"/>
          </w:tcPr>
          <w:p w14:paraId="1CF852B3" w14:textId="77777777" w:rsidR="00E273AD" w:rsidRDefault="00E273AD" w:rsidP="00C820DE">
            <w:pPr>
              <w:spacing w:after="0"/>
              <w:jc w:val="left"/>
            </w:pPr>
            <w:r>
              <w:rPr>
                <w:rFonts w:eastAsia="Segoe UI"/>
                <w:sz w:val="17"/>
              </w:rPr>
              <w:t>Responsiveness</w:t>
            </w:r>
          </w:p>
        </w:tc>
        <w:tc>
          <w:tcPr>
            <w:tcW w:w="2568" w:type="dxa"/>
            <w:vAlign w:val="center"/>
          </w:tcPr>
          <w:p w14:paraId="7D89615C" w14:textId="77777777" w:rsidR="00E273AD" w:rsidRDefault="00E273AD" w:rsidP="00C820DE">
            <w:pPr>
              <w:spacing w:after="0"/>
              <w:jc w:val="left"/>
            </w:pPr>
            <w:r>
              <w:rPr>
                <w:rFonts w:eastAsia="Segoe UI"/>
                <w:sz w:val="17"/>
              </w:rPr>
              <w:t>Pendaftaran cepat, bantuan segera, tanggapan baik, mudah dihubungi, waktu tunggu sesuai.</w:t>
            </w:r>
          </w:p>
        </w:tc>
        <w:tc>
          <w:tcPr>
            <w:tcW w:w="2571" w:type="dxa"/>
            <w:vAlign w:val="center"/>
          </w:tcPr>
          <w:p w14:paraId="1A68F970" w14:textId="77777777" w:rsidR="00E273AD" w:rsidRDefault="00E273AD" w:rsidP="00C820DE">
            <w:pPr>
              <w:spacing w:after="0"/>
              <w:jc w:val="left"/>
            </w:pPr>
            <w:r>
              <w:rPr>
                <w:rFonts w:eastAsia="Segoe UI"/>
                <w:sz w:val="17"/>
              </w:rPr>
              <w:t>Tidak ada kendala kecepatan yang dilaporkan.</w:t>
            </w:r>
          </w:p>
        </w:tc>
        <w:tc>
          <w:tcPr>
            <w:tcW w:w="2568" w:type="dxa"/>
            <w:vAlign w:val="center"/>
          </w:tcPr>
          <w:p w14:paraId="483610A2" w14:textId="77777777" w:rsidR="00E273AD" w:rsidRDefault="00E273AD" w:rsidP="00C820DE">
            <w:pPr>
              <w:spacing w:after="0"/>
              <w:jc w:val="left"/>
            </w:pPr>
            <w:r>
              <w:rPr>
                <w:rFonts w:eastAsia="Segoe UI"/>
                <w:sz w:val="17"/>
              </w:rPr>
              <w:t>Pertahankan respons cepat dan dokumentasikan waktu layanan.</w:t>
            </w:r>
          </w:p>
        </w:tc>
      </w:tr>
      <w:tr w:rsidR="00E273AD" w14:paraId="3DE6F638" w14:textId="77777777" w:rsidTr="00E273AD">
        <w:trPr>
          <w:cantSplit/>
        </w:trPr>
        <w:tc>
          <w:tcPr>
            <w:tcW w:w="1838" w:type="dxa"/>
            <w:vAlign w:val="center"/>
          </w:tcPr>
          <w:p w14:paraId="0716A2EF" w14:textId="77777777" w:rsidR="00E273AD" w:rsidRDefault="00E273AD" w:rsidP="00C820DE">
            <w:pPr>
              <w:spacing w:after="0"/>
              <w:jc w:val="left"/>
            </w:pPr>
            <w:r>
              <w:rPr>
                <w:rFonts w:eastAsia="Segoe UI"/>
                <w:sz w:val="17"/>
              </w:rPr>
              <w:t>Assurance</w:t>
            </w:r>
          </w:p>
        </w:tc>
        <w:tc>
          <w:tcPr>
            <w:tcW w:w="2568" w:type="dxa"/>
            <w:vAlign w:val="center"/>
          </w:tcPr>
          <w:p w14:paraId="0A755696" w14:textId="77777777" w:rsidR="00E273AD" w:rsidRDefault="00E273AD" w:rsidP="00C820DE">
            <w:pPr>
              <w:spacing w:after="0"/>
              <w:jc w:val="left"/>
            </w:pPr>
            <w:r>
              <w:rPr>
                <w:rFonts w:eastAsia="Segoe UI"/>
                <w:sz w:val="17"/>
              </w:rPr>
              <w:t>Penjelasan prosedur, kompetensi, rasa aman, profesionalisme, dan transparansi dinilai kuat.</w:t>
            </w:r>
          </w:p>
        </w:tc>
        <w:tc>
          <w:tcPr>
            <w:tcW w:w="2571" w:type="dxa"/>
            <w:vAlign w:val="center"/>
          </w:tcPr>
          <w:p w14:paraId="52876EF7" w14:textId="77777777" w:rsidR="00E273AD" w:rsidRDefault="00E273AD" w:rsidP="00C820DE">
            <w:pPr>
              <w:spacing w:after="0"/>
              <w:jc w:val="left"/>
            </w:pPr>
            <w:r>
              <w:rPr>
                <w:rFonts w:eastAsia="Segoe UI"/>
                <w:sz w:val="17"/>
              </w:rPr>
              <w:t>Kepercayaan sebagian juga dikaitkan dengan lokasi/reputasi.</w:t>
            </w:r>
          </w:p>
        </w:tc>
        <w:tc>
          <w:tcPr>
            <w:tcW w:w="2568" w:type="dxa"/>
            <w:vAlign w:val="center"/>
          </w:tcPr>
          <w:p w14:paraId="30B8D598" w14:textId="77777777" w:rsidR="00E273AD" w:rsidRDefault="00E273AD" w:rsidP="00C820DE">
            <w:pPr>
              <w:spacing w:after="0"/>
              <w:jc w:val="left"/>
            </w:pPr>
            <w:r>
              <w:rPr>
                <w:rFonts w:eastAsia="Segoe UI"/>
                <w:sz w:val="17"/>
              </w:rPr>
              <w:t>Perkuat komunikasi, informed consent, dan transparansi.</w:t>
            </w:r>
          </w:p>
        </w:tc>
      </w:tr>
      <w:tr w:rsidR="00E273AD" w14:paraId="57D095AC" w14:textId="77777777" w:rsidTr="00E273AD">
        <w:trPr>
          <w:cantSplit/>
        </w:trPr>
        <w:tc>
          <w:tcPr>
            <w:tcW w:w="1838" w:type="dxa"/>
            <w:vAlign w:val="center"/>
          </w:tcPr>
          <w:p w14:paraId="60809F8E" w14:textId="77777777" w:rsidR="00E273AD" w:rsidRDefault="00E273AD" w:rsidP="00C820DE">
            <w:pPr>
              <w:spacing w:after="0"/>
              <w:jc w:val="left"/>
            </w:pPr>
            <w:r>
              <w:rPr>
                <w:rFonts w:eastAsia="Segoe UI"/>
                <w:sz w:val="17"/>
              </w:rPr>
              <w:t>Empathy</w:t>
            </w:r>
          </w:p>
        </w:tc>
        <w:tc>
          <w:tcPr>
            <w:tcW w:w="2568" w:type="dxa"/>
            <w:vAlign w:val="center"/>
          </w:tcPr>
          <w:p w14:paraId="4175E2ED" w14:textId="77777777" w:rsidR="00E273AD" w:rsidRDefault="00E273AD" w:rsidP="00C820DE">
            <w:pPr>
              <w:spacing w:after="0"/>
              <w:jc w:val="left"/>
            </w:pPr>
            <w:r>
              <w:rPr>
                <w:rFonts w:eastAsia="Segoe UI"/>
                <w:sz w:val="17"/>
              </w:rPr>
              <w:t>Perhatian, listening, keramahan, nondiskriminasi, dan pemahaman kebutuhan individual.</w:t>
            </w:r>
          </w:p>
        </w:tc>
        <w:tc>
          <w:tcPr>
            <w:tcW w:w="2571" w:type="dxa"/>
            <w:vAlign w:val="center"/>
          </w:tcPr>
          <w:p w14:paraId="628F7DDB" w14:textId="77777777" w:rsidR="00E273AD" w:rsidRDefault="00E273AD" w:rsidP="00C820DE">
            <w:pPr>
              <w:spacing w:after="0"/>
              <w:jc w:val="left"/>
            </w:pPr>
            <w:r>
              <w:rPr>
                <w:rFonts w:eastAsia="Segoe UI"/>
                <w:sz w:val="17"/>
              </w:rPr>
              <w:t>Jawaban singkat belum menggali pengalaman emosional secara mendalam.</w:t>
            </w:r>
          </w:p>
        </w:tc>
        <w:tc>
          <w:tcPr>
            <w:tcW w:w="2568" w:type="dxa"/>
            <w:vAlign w:val="center"/>
          </w:tcPr>
          <w:p w14:paraId="35DC19A5" w14:textId="77777777" w:rsidR="00E273AD" w:rsidRDefault="00E273AD" w:rsidP="00C820DE">
            <w:pPr>
              <w:spacing w:after="0"/>
              <w:jc w:val="left"/>
            </w:pPr>
            <w:r>
              <w:rPr>
                <w:rFonts w:eastAsia="Segoe UI"/>
                <w:sz w:val="17"/>
              </w:rPr>
              <w:t>Jadikan komunikasi empatik sebagai standar pelayanan.</w:t>
            </w:r>
          </w:p>
        </w:tc>
      </w:tr>
      <w:tr w:rsidR="00E273AD" w14:paraId="241B44CD" w14:textId="77777777" w:rsidTr="00E273AD">
        <w:trPr>
          <w:cantSplit/>
        </w:trPr>
        <w:tc>
          <w:tcPr>
            <w:tcW w:w="1838" w:type="dxa"/>
            <w:vAlign w:val="center"/>
          </w:tcPr>
          <w:p w14:paraId="780AD34E" w14:textId="77777777" w:rsidR="00E273AD" w:rsidRDefault="00E273AD" w:rsidP="00C820DE">
            <w:pPr>
              <w:spacing w:after="0"/>
              <w:jc w:val="left"/>
            </w:pPr>
            <w:r>
              <w:rPr>
                <w:rFonts w:eastAsia="Segoe UI"/>
                <w:sz w:val="17"/>
              </w:rPr>
              <w:t>Hasil dirasakan</w:t>
            </w:r>
          </w:p>
        </w:tc>
        <w:tc>
          <w:tcPr>
            <w:tcW w:w="2568" w:type="dxa"/>
            <w:vAlign w:val="center"/>
          </w:tcPr>
          <w:p w14:paraId="52593FC9" w14:textId="77777777" w:rsidR="00E273AD" w:rsidRDefault="00E273AD" w:rsidP="00C820DE">
            <w:pPr>
              <w:spacing w:after="0"/>
              <w:jc w:val="left"/>
            </w:pPr>
            <w:r>
              <w:rPr>
                <w:rFonts w:eastAsia="Segoe UI"/>
                <w:sz w:val="17"/>
              </w:rPr>
              <w:t>Kualitas keseluruhan “bagus”; seluruh informan bersedia merekomendasikan.</w:t>
            </w:r>
          </w:p>
        </w:tc>
        <w:tc>
          <w:tcPr>
            <w:tcW w:w="2571" w:type="dxa"/>
            <w:vAlign w:val="center"/>
          </w:tcPr>
          <w:p w14:paraId="44F0E3F3" w14:textId="77777777" w:rsidR="00E273AD" w:rsidRDefault="00E273AD" w:rsidP="00C820DE">
            <w:pPr>
              <w:spacing w:after="0"/>
              <w:jc w:val="left"/>
            </w:pPr>
            <w:r>
              <w:rPr>
                <w:rFonts w:eastAsia="Segoe UI"/>
                <w:sz w:val="17"/>
              </w:rPr>
              <w:t>Belum diverifikasi sebagai perilaku loyal aktual jangka panjang.</w:t>
            </w:r>
          </w:p>
        </w:tc>
        <w:tc>
          <w:tcPr>
            <w:tcW w:w="2568" w:type="dxa"/>
            <w:vAlign w:val="center"/>
          </w:tcPr>
          <w:p w14:paraId="6865CAA0" w14:textId="77777777" w:rsidR="00E273AD" w:rsidRDefault="00E273AD" w:rsidP="00C820DE">
            <w:pPr>
              <w:spacing w:after="0"/>
              <w:jc w:val="left"/>
            </w:pPr>
            <w:r>
              <w:rPr>
                <w:rFonts w:eastAsia="Segoe UI"/>
                <w:sz w:val="17"/>
              </w:rPr>
              <w:t>Bangun pemantauan kepuasan, rekomendasi, dan kunjungan ulang.</w:t>
            </w:r>
          </w:p>
        </w:tc>
      </w:tr>
    </w:tbl>
    <w:p w14:paraId="1325E8AD" w14:textId="77777777" w:rsidR="00E273AD" w:rsidRDefault="00E273AD" w:rsidP="00E273AD">
      <w:pPr>
        <w:pStyle w:val="IEEEParagraph"/>
        <w:spacing w:after="40"/>
        <w:ind w:firstLine="425"/>
        <w:rPr>
          <w:rFonts w:ascii="Segoe UI" w:eastAsia="Segoe UI" w:hAnsi="Segoe UI"/>
          <w:sz w:val="22"/>
          <w:lang w:val="id-ID"/>
        </w:rPr>
      </w:pPr>
    </w:p>
    <w:p w14:paraId="26C82D29" w14:textId="770197B5" w:rsidR="00E273AD" w:rsidRPr="00E273AD" w:rsidRDefault="00E273AD" w:rsidP="00E273AD">
      <w:pPr>
        <w:pStyle w:val="IEEEParagraph"/>
        <w:spacing w:after="40"/>
        <w:ind w:firstLine="425"/>
        <w:rPr>
          <w:lang w:val="sv-SE"/>
        </w:rPr>
      </w:pPr>
      <w:r w:rsidRPr="00E273AD">
        <w:rPr>
          <w:rFonts w:ascii="Segoe UI" w:eastAsia="Segoe UI" w:hAnsi="Segoe UI"/>
          <w:sz w:val="22"/>
          <w:lang w:val="id-ID"/>
        </w:rPr>
        <w:t xml:space="preserve">Pada dimensi reliability, seluruh informan menyatakan pelayanan sesuai dengan yang dijanjikan, jadwal dinilai tepat, informasi tindakan dan biaya akurat, administrasi berjalan tanpa kesalahan yang dirasakan, hasil perawatan dinilai baik, dan klinik dapat dipercaya. </w:t>
      </w:r>
      <w:r w:rsidRPr="00E273AD">
        <w:rPr>
          <w:rFonts w:ascii="Segoe UI" w:eastAsia="Segoe UI" w:hAnsi="Segoe UI"/>
          <w:sz w:val="22"/>
          <w:lang w:val="sv-SE"/>
        </w:rPr>
        <w:t xml:space="preserve">Ungkapan informan seperti “tepat banget” dan “mantap” menunjukkan bahwa keandalan tidak hanya berkaitan dengan ketepatan prosedural, tetapi juga dengan hasil yang dirasakan pelanggan. Keandalan tersebut mengurangi ketidakpastian dan memberi sinyal bahwa penyedia jasa mampu mengelola waktu, proses administrasi, serta hasil layanan secara </w:t>
      </w:r>
      <w:r w:rsidRPr="00E273AD">
        <w:rPr>
          <w:rFonts w:ascii="Segoe UI" w:eastAsia="Segoe UI" w:hAnsi="Segoe UI"/>
          <w:sz w:val="22"/>
          <w:lang w:val="sv-SE"/>
        </w:rPr>
        <w:lastRenderedPageBreak/>
        <w:t>konsisten. Temuan ini sejalan dengan Öz dan Saygili (2026) yang menunjukkan keterkaitan antara persepsi kualitas layanan, komunikasi berbasis kepercayaan, dan kepuasan pasien dental.</w:t>
      </w:r>
    </w:p>
    <w:p w14:paraId="68794992" w14:textId="77777777" w:rsidR="00E273AD" w:rsidRPr="00E273AD" w:rsidRDefault="00E273AD" w:rsidP="00E273AD">
      <w:pPr>
        <w:pStyle w:val="IEEEParagraph"/>
        <w:spacing w:after="40"/>
        <w:ind w:firstLine="425"/>
        <w:rPr>
          <w:lang w:val="sv-SE"/>
        </w:rPr>
      </w:pPr>
      <w:r w:rsidRPr="00E273AD">
        <w:rPr>
          <w:rFonts w:ascii="Segoe UI" w:eastAsia="Segoe UI" w:hAnsi="Segoe UI"/>
          <w:sz w:val="22"/>
          <w:lang w:val="sv-SE"/>
        </w:rPr>
        <w:t>Responsiveness juga dinilai positif pada seluruh tahapan kontak layanan. Lima informan menyatakan proses pendaftaran cepat, dokter atau staf segera membantu ketika dibutuhkan, pertanyaan ditanggapi dengan baik, waktu tunggu sesuai harapan, dan klinik mudah dihubungi untuk membuat janji atau konsultasi. Hal ini penting karena pengalaman layanan tidak dimulai ketika tindakan klinis dilakukan, tetapi sejak pasien berupaya mengakses layanan. Pelayanan yang mudah dijangkau dan responsif memperkecil beban nonklinis pelanggan serta memperkuat persepsi efisiensi. Temuan ini konsisten dengan Alfath et al. (2026) yang menempatkan responsiveness dan empathy sebagai aspek penting dalam kepuasan pasien di pelayanan klinik gigi.</w:t>
      </w:r>
    </w:p>
    <w:p w14:paraId="1008516A" w14:textId="77777777" w:rsidR="00E273AD" w:rsidRPr="00E273AD" w:rsidRDefault="00E273AD" w:rsidP="00E273AD">
      <w:pPr>
        <w:pStyle w:val="IEEEParagraph"/>
        <w:spacing w:after="40"/>
        <w:ind w:firstLine="425"/>
        <w:rPr>
          <w:lang w:val="sv-SE"/>
        </w:rPr>
      </w:pPr>
      <w:r w:rsidRPr="00E273AD">
        <w:rPr>
          <w:rFonts w:ascii="Segoe UI" w:eastAsia="Segoe UI" w:hAnsi="Segoe UI"/>
          <w:sz w:val="22"/>
          <w:lang w:val="sv-SE"/>
        </w:rPr>
        <w:t>Assurance tercermin melalui penjelasan prosedur sebelum tindakan, keyakinan pada kompetensi dokter dan staf, rasa aman selama perawatan, kesopanan dan profesionalisme, serta transparansi biaya dan prosedur. Seluruh informan menyatakan merasa aman dan menilai penjelasan biaya maupun prosedur transparan. Pada jasa profesional, assurance memiliki arti strategis karena pelanggan menyerahkan keputusan yang berkaitan dengan kesehatan kepada tenaga ahli. Komunikasi yang jelas dapat mengurangi kecemasan, meningkatkan pemahaman, dan mendukung keputusan pasien. Ho et al. (2026) menekankan bahwa komunikasi dental yang empatik dan jelas merupakan elemen penting untuk memperbaiki pengalaman dan hubungan dokter-pasien.</w:t>
      </w:r>
    </w:p>
    <w:p w14:paraId="2A280E26" w14:textId="77777777" w:rsidR="00E273AD" w:rsidRPr="00E273AD" w:rsidRDefault="00E273AD" w:rsidP="00E273AD">
      <w:pPr>
        <w:pStyle w:val="IEEEParagraph"/>
        <w:spacing w:after="40"/>
        <w:ind w:firstLine="425"/>
        <w:rPr>
          <w:lang w:val="sv-SE"/>
        </w:rPr>
      </w:pPr>
      <w:r w:rsidRPr="00E273AD">
        <w:rPr>
          <w:rFonts w:ascii="Segoe UI" w:eastAsia="Segoe UI" w:hAnsi="Segoe UI"/>
          <w:sz w:val="22"/>
          <w:lang w:val="sv-SE"/>
        </w:rPr>
        <w:t>Empathy merupakan dimensi interpersonal yang paling menonjol. Semua informan menyatakan dokter mendengarkan keluhan, memberi perhatian, bersikap ramah, tidak membeda-bedakan, memahami kebutuhan individual, dan memberikan penjelasan kepada pasien yang takut atau cemas. Keramahan bahkan menjadi hal yang paling disukai oleh seluruh informan. Salah satu informan menyebut dokter “ramah banget”, yang menggambarkan bahwa nilai layanan dipersepsikan tidak hanya melalui kompetensi teknis, tetapi juga melalui cara pelanggan diperlakukan. Haryanto dan Olivia (2023) menunjukkan bahwa komunikasi terapeutik berperan dalam meningkatkan kenyamanan dan kepuasan pasien. Dengan demikian, empati dapat dipandang sebagai mekanisme interpersonal yang memperkuat rasa aman dan kepercayaan dalam pelayanan.</w:t>
      </w:r>
    </w:p>
    <w:p w14:paraId="5DB39BF3" w14:textId="77777777" w:rsidR="00E273AD" w:rsidRDefault="00E273AD" w:rsidP="00E273AD">
      <w:pPr>
        <w:pStyle w:val="IEEEParagraph"/>
        <w:spacing w:after="40"/>
        <w:ind w:firstLine="425"/>
        <w:rPr>
          <w:rFonts w:ascii="Segoe UI" w:eastAsia="Segoe UI" w:hAnsi="Segoe UI"/>
          <w:sz w:val="22"/>
          <w:lang w:val="sv-SE"/>
        </w:rPr>
      </w:pPr>
      <w:r w:rsidRPr="00E273AD">
        <w:rPr>
          <w:rFonts w:ascii="Segoe UI" w:eastAsia="Segoe UI" w:hAnsi="Segoe UI"/>
          <w:sz w:val="22"/>
          <w:lang w:val="sv-SE"/>
        </w:rPr>
        <w:t>Berbeda dengan empat dimensi proses, tangibles menunjukkan evaluasi dua lapis. Pada pertanyaan umum, pelanggan menerima kondisi fisik klinik karena kebersihan dinilai baik, peralatan dipersepsikan layak, penampilan dokter dan staf rapi, serta informasi mudah dipahami. Namun, ketika diminta menyebut aspek yang perlu diperbaiki, seluruh informan mengarahkan perhatian pada ruang tunggu, dan jawaban juga konsisten menyoroti kesulitan parkir. Salah satu informan menyatakan bahwa “ruang tunggu terlihat kecil dan kesulitan tempat parkir”. Artinya, pernyataan bahwa fasilitas memadai tidak identik dengan fasilitas optimal. Temuan ini sejalan dengan Nurhaeni (2022) yang menempatkan kondisi fasilitas sebagai bagian penting dari kenyamanan pasien selama pelayanan gigi.</w:t>
      </w:r>
    </w:p>
    <w:p w14:paraId="2C37D3B4" w14:textId="77777777" w:rsidR="00F0595A" w:rsidRDefault="00F0595A" w:rsidP="00F0595A">
      <w:pPr>
        <w:pStyle w:val="IEEEParagraph"/>
        <w:spacing w:after="40"/>
        <w:ind w:firstLine="0"/>
        <w:rPr>
          <w:rFonts w:ascii="Segoe UI" w:eastAsia="Segoe UI" w:hAnsi="Segoe UI"/>
          <w:sz w:val="22"/>
          <w:lang w:val="sv-SE"/>
        </w:rPr>
      </w:pPr>
    </w:p>
    <w:p w14:paraId="63DB82E6" w14:textId="3DD272DF" w:rsidR="00F0595A" w:rsidRDefault="002C7253" w:rsidP="00F0595A">
      <w:pPr>
        <w:jc w:val="center"/>
      </w:pPr>
      <w:r w:rsidRPr="002C7253">
        <w:rPr>
          <w:noProof/>
        </w:rPr>
        <w:lastRenderedPageBreak/>
        <w:drawing>
          <wp:inline distT="0" distB="0" distL="0" distR="0" wp14:anchorId="4D8DA316" wp14:editId="23FD9B4B">
            <wp:extent cx="4701540" cy="2347113"/>
            <wp:effectExtent l="0" t="0" r="3810" b="0"/>
            <wp:docPr id="182368633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86338" name=""/>
                    <pic:cNvPicPr/>
                  </pic:nvPicPr>
                  <pic:blipFill>
                    <a:blip r:embed="rId17"/>
                    <a:stretch>
                      <a:fillRect/>
                    </a:stretch>
                  </pic:blipFill>
                  <pic:spPr>
                    <a:xfrm>
                      <a:off x="0" y="0"/>
                      <a:ext cx="4714525" cy="2353595"/>
                    </a:xfrm>
                    <a:prstGeom prst="rect">
                      <a:avLst/>
                    </a:prstGeom>
                  </pic:spPr>
                </pic:pic>
              </a:graphicData>
            </a:graphic>
          </wp:inline>
        </w:drawing>
      </w:r>
    </w:p>
    <w:p w14:paraId="7739A2B2" w14:textId="77777777" w:rsidR="00F0595A" w:rsidRDefault="00F0595A" w:rsidP="00F0595A">
      <w:pPr>
        <w:spacing w:before="40" w:after="20"/>
        <w:jc w:val="center"/>
      </w:pPr>
      <w:r>
        <w:rPr>
          <w:rFonts w:eastAsia="Segoe UI"/>
          <w:sz w:val="20"/>
        </w:rPr>
        <w:t>Gambar 1. Peta Kualitas Pelayanan sebagai Pembentuk Kepuasan Pelanggan</w:t>
      </w:r>
    </w:p>
    <w:p w14:paraId="5ED2343F" w14:textId="77777777" w:rsidR="00F0595A" w:rsidRDefault="00F0595A" w:rsidP="002C7253">
      <w:pPr>
        <w:spacing w:before="100" w:after="60"/>
        <w:ind w:left="567"/>
        <w:jc w:val="left"/>
      </w:pPr>
      <w:r>
        <w:rPr>
          <w:rFonts w:eastAsia="Segoe UI"/>
          <w:b/>
          <w:sz w:val="21"/>
        </w:rPr>
        <w:t>3.3 Kepuasan Pelanggan dan Niat Rekomendasi</w:t>
      </w:r>
    </w:p>
    <w:p w14:paraId="412B2B94" w14:textId="77777777"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t>Penilaian keseluruhan menunjukkan bahwa lima informan menilai kualitas pelayanan “bagus”. Seluruh informan juga menyatakan bersedia merekomendasikan praktik dokter gigi kepada keluarga atau teman, terutama karena pelayanan dan keramahan. Hasil ini menunjukkan bahwa kepuasan tidak berhenti pada evaluasi kognitif terhadap ketepatan layanan, tetapi berkembang menjadi niat perilaku positif berupa rekomendasi. Dalam perspektif pemasaran jasa, rekomendasi merupakan sinyal kepercayaan karena pelanggan bersedia mengaitkan reputasinya dengan layanan yang disarankan. Namun, artikel ini tidak menyamakan kesediaan merekomendasikan dengan loyalitas aktual. Data belum memverifikasi kunjungan ulang dalam periode panjang, intensitas penggunaan, atau perilaku rekomendasi nyata. Oleh karena itu, hasil tersebut lebih tepat dipahami sebagai indikasi word of mouth positif dan potensi loyalitas.</w:t>
      </w:r>
    </w:p>
    <w:p w14:paraId="3033ACAD" w14:textId="77777777"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t>Secara kualitatif, faktor pembentuk kepuasan dapat diringkas ke dalam lima kelompok. Pertama, faktor interpersonal berupa keramahan, perhatian, kemampuan mendengarkan, kesopanan, dan perlakuan nondiskriminatif. Kedua, faktor keandalan berupa ketepatan jadwal, kesesuaian janji, akurasi informasi, administrasi, dan hasil perawatan. Ketiga, faktor daya tanggap berupa kecepatan pendaftaran, kesigapan membantu, tanggapan terhadap pertanyaan, dan kemudahan menghubungi klinik. Keempat, faktor jaminan berupa keyakinan pada kompetensi dokter, rasa aman, profesionalisme, serta transparansi prosedur dan biaya. Kelima, faktor fisik dan akses berupa kebersihan, peralatan, ruang tunggu, parkir, dan kedekatan lokasi. Dari kelima kelompok tersebut, keramahan dan komunikasi merupakan faktor yang paling menonjol karena muncul berulang pada empathy, assurance, penilaian keseluruhan, dan alasan rekomendasi.</w:t>
      </w:r>
    </w:p>
    <w:p w14:paraId="49742F81" w14:textId="77777777"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t xml:space="preserve">Temuan tersebut mendukung pemaknaan bahwa kualitas pelayanan membentuk kepuasan melalui kombinasi proses dan hubungan interpersonal. Kualitas yang dirasakan pelanggan lebih kuat pada reliability, responsiveness, assurance, dan empathy dibandingkan pada fasilitas pendukung. Öz dan Saygili (2026) menunjukkan hubungan positif antara komunikasi berbasis kepercayaan, persepsi kualitas, dan kepuasan pasien dental. Paramarta dan Rahmiyati (2025) juga menunjukkan bahwa kepuasan dapat menjadi jalur menuju loyalitas pada pelayanan klinik gigi. Dalam konteks penelitian ini, data kualitatif tidak digunakan untuk menguji besarnya pengaruh, tetapi menunjukkan mekanisme pengalaman yang konsisten: layanan yang tepat, cepat, aman, transparan, dan ramah menghasilkan </w:t>
      </w:r>
      <w:r w:rsidRPr="00F0595A">
        <w:rPr>
          <w:rFonts w:ascii="Segoe UI" w:eastAsia="Segoe UI" w:hAnsi="Segoe UI"/>
          <w:sz w:val="22"/>
          <w:lang w:val="sv-SE"/>
        </w:rPr>
        <w:lastRenderedPageBreak/>
        <w:t>evaluasi keseluruhan yang positif meskipun pelanggan tetap mengidentifikasi kelemahan fisik tertentu.</w:t>
      </w:r>
    </w:p>
    <w:p w14:paraId="094F4CB8" w14:textId="77777777" w:rsidR="00F0595A" w:rsidRDefault="00F0595A" w:rsidP="002C7253">
      <w:pPr>
        <w:spacing w:before="100" w:after="60"/>
        <w:ind w:left="567"/>
        <w:jc w:val="left"/>
      </w:pPr>
      <w:r>
        <w:rPr>
          <w:rFonts w:eastAsia="Segoe UI"/>
          <w:b/>
          <w:sz w:val="21"/>
        </w:rPr>
        <w:t>3.4 Implikasi Manajerial</w:t>
      </w:r>
    </w:p>
    <w:p w14:paraId="423EF50D" w14:textId="77777777"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t>Implikasi utama bagi pengelola praktik mandiri adalah perlunya menggunakan pendekatan ganda: mempertahankan kekuatan proses pelayanan sekaligus menutup kesenjangan pada fasilitas pendukung. Strategi tidak harus dimulai dengan perubahan menyeluruh, tetapi dapat disusun berdasarkan prioritas yang paling konsisten muncul dari suara pasien. Perbaikan ruang tunggu dan akses parkir merupakan quick wins karena kedua isu tersebut disebut berulang. Pada saat yang sama, keramahan, ketepatan jadwal, komunikasi, rasa aman, dan transparansi perlu diubah dari kebiasaan personal menjadi standar layanan yang terdokumentasi sehingga kualitas tidak bergantung pada individu tertentu.</w:t>
      </w:r>
    </w:p>
    <w:p w14:paraId="044BD522" w14:textId="77777777" w:rsidR="00F0595A" w:rsidRDefault="00F0595A" w:rsidP="00F0595A">
      <w:pPr>
        <w:spacing w:before="40" w:after="20"/>
        <w:jc w:val="center"/>
      </w:pPr>
      <w:r>
        <w:rPr>
          <w:rFonts w:eastAsia="Segoe UI"/>
          <w:sz w:val="20"/>
        </w:rPr>
        <w:t>Tabel 3. Prioritas Implikasi Manajerial</w:t>
      </w:r>
    </w:p>
    <w:tbl>
      <w:tblPr>
        <w:tblW w:w="0" w:type="auto"/>
        <w:jc w:val="center"/>
        <w:tblLook w:val="04A0" w:firstRow="1" w:lastRow="0" w:firstColumn="1" w:lastColumn="0" w:noHBand="0" w:noVBand="1"/>
      </w:tblPr>
      <w:tblGrid>
        <w:gridCol w:w="1838"/>
        <w:gridCol w:w="2569"/>
        <w:gridCol w:w="2569"/>
        <w:gridCol w:w="2091"/>
      </w:tblGrid>
      <w:tr w:rsidR="00F0595A" w14:paraId="37443CA6" w14:textId="77777777" w:rsidTr="002C7253">
        <w:trPr>
          <w:cantSplit/>
          <w:jc w:val="center"/>
        </w:trPr>
        <w:tc>
          <w:tcPr>
            <w:tcW w:w="1838" w:type="dxa"/>
            <w:tcBorders>
              <w:top w:val="single" w:sz="4" w:space="0" w:color="auto"/>
              <w:bottom w:val="single" w:sz="4" w:space="0" w:color="auto"/>
            </w:tcBorders>
            <w:shd w:val="clear" w:color="auto" w:fill="E7E6E6"/>
            <w:vAlign w:val="center"/>
          </w:tcPr>
          <w:p w14:paraId="6C3C31EC" w14:textId="77777777" w:rsidR="00F0595A" w:rsidRDefault="00F0595A" w:rsidP="00C820DE">
            <w:pPr>
              <w:spacing w:after="0"/>
              <w:jc w:val="center"/>
            </w:pPr>
            <w:r>
              <w:rPr>
                <w:rFonts w:eastAsia="Segoe UI"/>
                <w:b/>
                <w:sz w:val="18"/>
              </w:rPr>
              <w:t>Isu</w:t>
            </w:r>
          </w:p>
        </w:tc>
        <w:tc>
          <w:tcPr>
            <w:tcW w:w="2569" w:type="dxa"/>
            <w:tcBorders>
              <w:top w:val="single" w:sz="4" w:space="0" w:color="auto"/>
              <w:bottom w:val="single" w:sz="4" w:space="0" w:color="auto"/>
            </w:tcBorders>
            <w:shd w:val="clear" w:color="auto" w:fill="E7E6E6"/>
            <w:vAlign w:val="center"/>
          </w:tcPr>
          <w:p w14:paraId="5C5409E4" w14:textId="77777777" w:rsidR="00F0595A" w:rsidRDefault="00F0595A" w:rsidP="00C820DE">
            <w:pPr>
              <w:spacing w:after="0"/>
              <w:jc w:val="center"/>
            </w:pPr>
            <w:r>
              <w:rPr>
                <w:rFonts w:eastAsia="Segoe UI"/>
                <w:b/>
                <w:sz w:val="18"/>
              </w:rPr>
              <w:t>Tindakan Manajerial</w:t>
            </w:r>
          </w:p>
        </w:tc>
        <w:tc>
          <w:tcPr>
            <w:tcW w:w="2569" w:type="dxa"/>
            <w:tcBorders>
              <w:top w:val="single" w:sz="4" w:space="0" w:color="auto"/>
              <w:bottom w:val="single" w:sz="4" w:space="0" w:color="auto"/>
            </w:tcBorders>
            <w:shd w:val="clear" w:color="auto" w:fill="E7E6E6"/>
            <w:vAlign w:val="center"/>
          </w:tcPr>
          <w:p w14:paraId="1F0C640B" w14:textId="77777777" w:rsidR="00F0595A" w:rsidRDefault="00F0595A" w:rsidP="00C820DE">
            <w:pPr>
              <w:spacing w:after="0"/>
              <w:jc w:val="center"/>
            </w:pPr>
            <w:r>
              <w:rPr>
                <w:rFonts w:eastAsia="Segoe UI"/>
                <w:b/>
                <w:sz w:val="18"/>
              </w:rPr>
              <w:t>Indikator Pemantauan</w:t>
            </w:r>
          </w:p>
        </w:tc>
        <w:tc>
          <w:tcPr>
            <w:tcW w:w="2091" w:type="dxa"/>
            <w:tcBorders>
              <w:top w:val="single" w:sz="4" w:space="0" w:color="auto"/>
              <w:bottom w:val="single" w:sz="4" w:space="0" w:color="auto"/>
            </w:tcBorders>
            <w:shd w:val="clear" w:color="auto" w:fill="E7E6E6"/>
            <w:vAlign w:val="center"/>
          </w:tcPr>
          <w:p w14:paraId="3966C945" w14:textId="77777777" w:rsidR="00F0595A" w:rsidRDefault="00F0595A" w:rsidP="00C820DE">
            <w:pPr>
              <w:spacing w:after="0"/>
              <w:jc w:val="center"/>
            </w:pPr>
            <w:r>
              <w:rPr>
                <w:rFonts w:eastAsia="Segoe UI"/>
                <w:b/>
                <w:sz w:val="18"/>
              </w:rPr>
              <w:t>Prioritas/Waktu</w:t>
            </w:r>
          </w:p>
        </w:tc>
      </w:tr>
      <w:tr w:rsidR="00F0595A" w14:paraId="1EBBC25E" w14:textId="77777777" w:rsidTr="002C7253">
        <w:trPr>
          <w:cantSplit/>
          <w:jc w:val="center"/>
        </w:trPr>
        <w:tc>
          <w:tcPr>
            <w:tcW w:w="1838" w:type="dxa"/>
            <w:tcBorders>
              <w:top w:val="single" w:sz="4" w:space="0" w:color="auto"/>
            </w:tcBorders>
            <w:vAlign w:val="center"/>
          </w:tcPr>
          <w:p w14:paraId="4FD78B50" w14:textId="77777777" w:rsidR="00F0595A" w:rsidRDefault="00F0595A" w:rsidP="00C820DE">
            <w:pPr>
              <w:spacing w:after="0"/>
              <w:jc w:val="left"/>
            </w:pPr>
            <w:r>
              <w:rPr>
                <w:rFonts w:eastAsia="Segoe UI"/>
                <w:sz w:val="16"/>
              </w:rPr>
              <w:t>Ruang tunggu terbatas</w:t>
            </w:r>
          </w:p>
        </w:tc>
        <w:tc>
          <w:tcPr>
            <w:tcW w:w="2569" w:type="dxa"/>
            <w:tcBorders>
              <w:top w:val="single" w:sz="4" w:space="0" w:color="auto"/>
            </w:tcBorders>
            <w:vAlign w:val="center"/>
          </w:tcPr>
          <w:p w14:paraId="1B086231" w14:textId="77777777" w:rsidR="00F0595A" w:rsidRDefault="00F0595A" w:rsidP="00C820DE">
            <w:pPr>
              <w:spacing w:after="0"/>
              <w:jc w:val="left"/>
            </w:pPr>
            <w:r>
              <w:rPr>
                <w:rFonts w:eastAsia="Segoe UI"/>
                <w:sz w:val="16"/>
              </w:rPr>
              <w:t>Audit kapasitas; tata ulang kursi; zonasi; perbaiki sirkulasi; appointment berbasis slot.</w:t>
            </w:r>
          </w:p>
        </w:tc>
        <w:tc>
          <w:tcPr>
            <w:tcW w:w="2569" w:type="dxa"/>
            <w:tcBorders>
              <w:top w:val="single" w:sz="4" w:space="0" w:color="auto"/>
            </w:tcBorders>
            <w:vAlign w:val="center"/>
          </w:tcPr>
          <w:p w14:paraId="2BABBB62" w14:textId="77777777" w:rsidR="00F0595A" w:rsidRDefault="00F0595A" w:rsidP="00C820DE">
            <w:pPr>
              <w:spacing w:after="0"/>
              <w:jc w:val="left"/>
            </w:pPr>
            <w:r>
              <w:rPr>
                <w:rFonts w:eastAsia="Segoe UI"/>
                <w:sz w:val="16"/>
              </w:rPr>
              <w:t>Kepadatan dan keluhan ruang tunggu menurun.</w:t>
            </w:r>
          </w:p>
        </w:tc>
        <w:tc>
          <w:tcPr>
            <w:tcW w:w="2091" w:type="dxa"/>
            <w:tcBorders>
              <w:top w:val="single" w:sz="4" w:space="0" w:color="auto"/>
            </w:tcBorders>
            <w:vAlign w:val="center"/>
          </w:tcPr>
          <w:p w14:paraId="76406050" w14:textId="77777777" w:rsidR="00F0595A" w:rsidRDefault="00F0595A" w:rsidP="00C820DE">
            <w:pPr>
              <w:spacing w:after="0"/>
              <w:jc w:val="left"/>
            </w:pPr>
            <w:r>
              <w:rPr>
                <w:rFonts w:eastAsia="Segoe UI"/>
                <w:sz w:val="16"/>
              </w:rPr>
              <w:t>Sangat tinggi; 0–3 bulan</w:t>
            </w:r>
          </w:p>
        </w:tc>
      </w:tr>
      <w:tr w:rsidR="00F0595A" w14:paraId="6898C96A" w14:textId="77777777" w:rsidTr="002C7253">
        <w:trPr>
          <w:cantSplit/>
          <w:jc w:val="center"/>
        </w:trPr>
        <w:tc>
          <w:tcPr>
            <w:tcW w:w="1838" w:type="dxa"/>
            <w:vAlign w:val="center"/>
          </w:tcPr>
          <w:p w14:paraId="241C59CE" w14:textId="77777777" w:rsidR="00F0595A" w:rsidRDefault="00F0595A" w:rsidP="00C820DE">
            <w:pPr>
              <w:spacing w:after="0"/>
              <w:jc w:val="left"/>
            </w:pPr>
            <w:r>
              <w:rPr>
                <w:rFonts w:eastAsia="Segoe UI"/>
                <w:sz w:val="16"/>
              </w:rPr>
              <w:t>Kesulitan parkir</w:t>
            </w:r>
          </w:p>
        </w:tc>
        <w:tc>
          <w:tcPr>
            <w:tcW w:w="2569" w:type="dxa"/>
            <w:vAlign w:val="center"/>
          </w:tcPr>
          <w:p w14:paraId="6EADFC84" w14:textId="77777777" w:rsidR="00F0595A" w:rsidRDefault="00F0595A" w:rsidP="00C820DE">
            <w:pPr>
              <w:spacing w:after="0"/>
              <w:jc w:val="left"/>
            </w:pPr>
            <w:r>
              <w:rPr>
                <w:rFonts w:eastAsia="Segoe UI"/>
                <w:sz w:val="16"/>
              </w:rPr>
              <w:t>Petunjuk parkir; pengaturan kendaraan; drop-off; kerja sama lahan; informasi sebelum kunjungan.</w:t>
            </w:r>
          </w:p>
        </w:tc>
        <w:tc>
          <w:tcPr>
            <w:tcW w:w="2569" w:type="dxa"/>
            <w:vAlign w:val="center"/>
          </w:tcPr>
          <w:p w14:paraId="23BD3523" w14:textId="77777777" w:rsidR="00F0595A" w:rsidRDefault="00F0595A" w:rsidP="00C820DE">
            <w:pPr>
              <w:spacing w:after="0"/>
              <w:jc w:val="left"/>
            </w:pPr>
            <w:r>
              <w:rPr>
                <w:rFonts w:eastAsia="Segoe UI"/>
                <w:sz w:val="16"/>
              </w:rPr>
              <w:t>Akses lebih mudah; keluhan parkir menurun.</w:t>
            </w:r>
          </w:p>
        </w:tc>
        <w:tc>
          <w:tcPr>
            <w:tcW w:w="2091" w:type="dxa"/>
            <w:vAlign w:val="center"/>
          </w:tcPr>
          <w:p w14:paraId="2CAC49D2" w14:textId="77777777" w:rsidR="00F0595A" w:rsidRDefault="00F0595A" w:rsidP="00C820DE">
            <w:pPr>
              <w:spacing w:after="0"/>
              <w:jc w:val="left"/>
            </w:pPr>
            <w:r>
              <w:rPr>
                <w:rFonts w:eastAsia="Segoe UI"/>
                <w:sz w:val="16"/>
              </w:rPr>
              <w:t>Sangat tinggi; 0–3 bulan</w:t>
            </w:r>
          </w:p>
        </w:tc>
      </w:tr>
      <w:tr w:rsidR="00F0595A" w14:paraId="492B86AD" w14:textId="77777777" w:rsidTr="002C7253">
        <w:trPr>
          <w:cantSplit/>
          <w:jc w:val="center"/>
        </w:trPr>
        <w:tc>
          <w:tcPr>
            <w:tcW w:w="1838" w:type="dxa"/>
            <w:vAlign w:val="center"/>
          </w:tcPr>
          <w:p w14:paraId="4873D654" w14:textId="77777777" w:rsidR="00F0595A" w:rsidRDefault="00F0595A" w:rsidP="00C820DE">
            <w:pPr>
              <w:spacing w:after="0"/>
              <w:jc w:val="left"/>
            </w:pPr>
            <w:r>
              <w:rPr>
                <w:rFonts w:eastAsia="Segoe UI"/>
                <w:sz w:val="16"/>
              </w:rPr>
              <w:t>Ketepatan waktu</w:t>
            </w:r>
          </w:p>
        </w:tc>
        <w:tc>
          <w:tcPr>
            <w:tcW w:w="2569" w:type="dxa"/>
            <w:vAlign w:val="center"/>
          </w:tcPr>
          <w:p w14:paraId="1EF220CC" w14:textId="77777777" w:rsidR="00F0595A" w:rsidRDefault="00F0595A" w:rsidP="00C820DE">
            <w:pPr>
              <w:spacing w:after="0"/>
              <w:jc w:val="left"/>
            </w:pPr>
            <w:r>
              <w:rPr>
                <w:rFonts w:eastAsia="Segoe UI"/>
                <w:sz w:val="16"/>
              </w:rPr>
              <w:t>SOP durasi; konfirmasi janji; buffer kasus kompleks; pencatatan waktu tunggu.</w:t>
            </w:r>
          </w:p>
        </w:tc>
        <w:tc>
          <w:tcPr>
            <w:tcW w:w="2569" w:type="dxa"/>
            <w:vAlign w:val="center"/>
          </w:tcPr>
          <w:p w14:paraId="49E0E223" w14:textId="77777777" w:rsidR="00F0595A" w:rsidRDefault="00F0595A" w:rsidP="00C820DE">
            <w:pPr>
              <w:spacing w:after="0"/>
              <w:jc w:val="left"/>
            </w:pPr>
            <w:r>
              <w:rPr>
                <w:rFonts w:eastAsia="Segoe UI"/>
                <w:sz w:val="16"/>
              </w:rPr>
              <w:t>Pasien dilayani sesuai slot; keterlambatan terpantau.</w:t>
            </w:r>
          </w:p>
        </w:tc>
        <w:tc>
          <w:tcPr>
            <w:tcW w:w="2091" w:type="dxa"/>
            <w:vAlign w:val="center"/>
          </w:tcPr>
          <w:p w14:paraId="5350431D" w14:textId="77777777" w:rsidR="00F0595A" w:rsidRDefault="00F0595A" w:rsidP="00C820DE">
            <w:pPr>
              <w:spacing w:after="0"/>
              <w:jc w:val="left"/>
            </w:pPr>
            <w:r>
              <w:rPr>
                <w:rFonts w:eastAsia="Segoe UI"/>
                <w:sz w:val="16"/>
              </w:rPr>
              <w:t>Tinggi; berkelanjutan</w:t>
            </w:r>
          </w:p>
        </w:tc>
      </w:tr>
      <w:tr w:rsidR="00F0595A" w14:paraId="246B3A40" w14:textId="77777777" w:rsidTr="002C7253">
        <w:trPr>
          <w:cantSplit/>
          <w:jc w:val="center"/>
        </w:trPr>
        <w:tc>
          <w:tcPr>
            <w:tcW w:w="1838" w:type="dxa"/>
            <w:vAlign w:val="center"/>
          </w:tcPr>
          <w:p w14:paraId="25DA7E34" w14:textId="77777777" w:rsidR="00F0595A" w:rsidRDefault="00F0595A" w:rsidP="00C820DE">
            <w:pPr>
              <w:spacing w:after="0"/>
              <w:jc w:val="left"/>
            </w:pPr>
            <w:r>
              <w:rPr>
                <w:rFonts w:eastAsia="Segoe UI"/>
                <w:sz w:val="16"/>
              </w:rPr>
              <w:t>Komunikasi &amp; jaminan</w:t>
            </w:r>
          </w:p>
        </w:tc>
        <w:tc>
          <w:tcPr>
            <w:tcW w:w="2569" w:type="dxa"/>
            <w:vAlign w:val="center"/>
          </w:tcPr>
          <w:p w14:paraId="4A28652F" w14:textId="77777777" w:rsidR="00F0595A" w:rsidRDefault="00F0595A" w:rsidP="00C820DE">
            <w:pPr>
              <w:spacing w:after="0"/>
              <w:jc w:val="left"/>
            </w:pPr>
            <w:r>
              <w:rPr>
                <w:rFonts w:eastAsia="Segoe UI"/>
                <w:sz w:val="16"/>
              </w:rPr>
              <w:t>Checklist penjelasan tindakan, risiko, manfaat, biaya, persetujuan, dan instruksi pascatindakan.</w:t>
            </w:r>
          </w:p>
        </w:tc>
        <w:tc>
          <w:tcPr>
            <w:tcW w:w="2569" w:type="dxa"/>
            <w:vAlign w:val="center"/>
          </w:tcPr>
          <w:p w14:paraId="0ABEA32E" w14:textId="77777777" w:rsidR="00F0595A" w:rsidRDefault="00F0595A" w:rsidP="00C820DE">
            <w:pPr>
              <w:spacing w:after="0"/>
              <w:jc w:val="left"/>
            </w:pPr>
            <w:r>
              <w:rPr>
                <w:rFonts w:eastAsia="Segoe UI"/>
                <w:sz w:val="16"/>
              </w:rPr>
              <w:t>Dokumentasi penjelasan lengkap; keluhan informasi menurun.</w:t>
            </w:r>
          </w:p>
        </w:tc>
        <w:tc>
          <w:tcPr>
            <w:tcW w:w="2091" w:type="dxa"/>
            <w:vAlign w:val="center"/>
          </w:tcPr>
          <w:p w14:paraId="4E86CCCA" w14:textId="77777777" w:rsidR="00F0595A" w:rsidRDefault="00F0595A" w:rsidP="00C820DE">
            <w:pPr>
              <w:spacing w:after="0"/>
              <w:jc w:val="left"/>
            </w:pPr>
            <w:r>
              <w:rPr>
                <w:rFonts w:eastAsia="Segoe UI"/>
                <w:sz w:val="16"/>
              </w:rPr>
              <w:t>Tinggi; 0–3 bulan</w:t>
            </w:r>
          </w:p>
        </w:tc>
      </w:tr>
      <w:tr w:rsidR="00F0595A" w14:paraId="60AC3EFD" w14:textId="77777777" w:rsidTr="002C7253">
        <w:trPr>
          <w:cantSplit/>
          <w:jc w:val="center"/>
        </w:trPr>
        <w:tc>
          <w:tcPr>
            <w:tcW w:w="1838" w:type="dxa"/>
            <w:vAlign w:val="center"/>
          </w:tcPr>
          <w:p w14:paraId="40A66D0F" w14:textId="77777777" w:rsidR="00F0595A" w:rsidRDefault="00F0595A" w:rsidP="00C820DE">
            <w:pPr>
              <w:spacing w:after="0"/>
              <w:jc w:val="left"/>
            </w:pPr>
            <w:r>
              <w:rPr>
                <w:rFonts w:eastAsia="Segoe UI"/>
                <w:sz w:val="16"/>
              </w:rPr>
              <w:t>Empati &amp; keramahan</w:t>
            </w:r>
          </w:p>
        </w:tc>
        <w:tc>
          <w:tcPr>
            <w:tcW w:w="2569" w:type="dxa"/>
            <w:vAlign w:val="center"/>
          </w:tcPr>
          <w:p w14:paraId="4BB2C10C" w14:textId="77777777" w:rsidR="00F0595A" w:rsidRDefault="00F0595A" w:rsidP="00C820DE">
            <w:pPr>
              <w:spacing w:after="0"/>
              <w:jc w:val="left"/>
            </w:pPr>
            <w:r>
              <w:rPr>
                <w:rFonts w:eastAsia="Segoe UI"/>
                <w:sz w:val="16"/>
              </w:rPr>
              <w:t>Pelatihan active listening, komunikasi pasien cemas, bahasa sederhana, dan pelayanan nondiskriminatif.</w:t>
            </w:r>
          </w:p>
        </w:tc>
        <w:tc>
          <w:tcPr>
            <w:tcW w:w="2569" w:type="dxa"/>
            <w:vAlign w:val="center"/>
          </w:tcPr>
          <w:p w14:paraId="23A4D914" w14:textId="77777777" w:rsidR="00F0595A" w:rsidRDefault="00F0595A" w:rsidP="00C820DE">
            <w:pPr>
              <w:spacing w:after="0"/>
              <w:jc w:val="left"/>
            </w:pPr>
            <w:r>
              <w:rPr>
                <w:rFonts w:eastAsia="Segoe UI"/>
                <w:sz w:val="16"/>
              </w:rPr>
              <w:t>Pengalaman komunikasi stabil; rekomendasi tinggi.</w:t>
            </w:r>
          </w:p>
        </w:tc>
        <w:tc>
          <w:tcPr>
            <w:tcW w:w="2091" w:type="dxa"/>
            <w:vAlign w:val="center"/>
          </w:tcPr>
          <w:p w14:paraId="0628A771" w14:textId="77777777" w:rsidR="00F0595A" w:rsidRDefault="00F0595A" w:rsidP="00C820DE">
            <w:pPr>
              <w:spacing w:after="0"/>
              <w:jc w:val="left"/>
            </w:pPr>
            <w:r>
              <w:rPr>
                <w:rFonts w:eastAsia="Segoe UI"/>
                <w:sz w:val="16"/>
              </w:rPr>
              <w:t>Tinggi; 3–6 bulan</w:t>
            </w:r>
          </w:p>
        </w:tc>
      </w:tr>
      <w:tr w:rsidR="00F0595A" w14:paraId="01122B24" w14:textId="77777777" w:rsidTr="002C7253">
        <w:trPr>
          <w:cantSplit/>
          <w:jc w:val="center"/>
        </w:trPr>
        <w:tc>
          <w:tcPr>
            <w:tcW w:w="1838" w:type="dxa"/>
            <w:vAlign w:val="center"/>
          </w:tcPr>
          <w:p w14:paraId="4AF95ECE" w14:textId="77777777" w:rsidR="00F0595A" w:rsidRDefault="00F0595A" w:rsidP="00C820DE">
            <w:pPr>
              <w:spacing w:after="0"/>
              <w:jc w:val="left"/>
            </w:pPr>
            <w:r>
              <w:rPr>
                <w:rFonts w:eastAsia="Segoe UI"/>
                <w:sz w:val="16"/>
              </w:rPr>
              <w:t>Umpan balik terstruktur</w:t>
            </w:r>
          </w:p>
        </w:tc>
        <w:tc>
          <w:tcPr>
            <w:tcW w:w="2569" w:type="dxa"/>
            <w:vAlign w:val="center"/>
          </w:tcPr>
          <w:p w14:paraId="5BB6D814" w14:textId="77777777" w:rsidR="00F0595A" w:rsidRDefault="00F0595A" w:rsidP="00C820DE">
            <w:pPr>
              <w:spacing w:after="0"/>
              <w:jc w:val="left"/>
            </w:pPr>
            <w:r>
              <w:rPr>
                <w:rFonts w:eastAsia="Segoe UI"/>
                <w:sz w:val="16"/>
              </w:rPr>
              <w:t>Kuesioner singkat/QR, log keluhan, review berkala, dan tindak lanjut.</w:t>
            </w:r>
          </w:p>
        </w:tc>
        <w:tc>
          <w:tcPr>
            <w:tcW w:w="2569" w:type="dxa"/>
            <w:vAlign w:val="center"/>
          </w:tcPr>
          <w:p w14:paraId="108C6FE7" w14:textId="77777777" w:rsidR="00F0595A" w:rsidRDefault="00F0595A" w:rsidP="00C820DE">
            <w:pPr>
              <w:spacing w:after="0"/>
              <w:jc w:val="left"/>
            </w:pPr>
            <w:r>
              <w:rPr>
                <w:rFonts w:eastAsia="Segoe UI"/>
                <w:sz w:val="16"/>
              </w:rPr>
              <w:t>Respons meningkat; keluhan ditutup dan terdokumentasi.</w:t>
            </w:r>
          </w:p>
        </w:tc>
        <w:tc>
          <w:tcPr>
            <w:tcW w:w="2091" w:type="dxa"/>
            <w:vAlign w:val="center"/>
          </w:tcPr>
          <w:p w14:paraId="76ADB553" w14:textId="77777777" w:rsidR="00F0595A" w:rsidRDefault="00F0595A" w:rsidP="00C820DE">
            <w:pPr>
              <w:spacing w:after="0"/>
              <w:jc w:val="left"/>
            </w:pPr>
            <w:r>
              <w:rPr>
                <w:rFonts w:eastAsia="Segoe UI"/>
                <w:sz w:val="16"/>
              </w:rPr>
              <w:t>Tinggi; 3–6 bulan</w:t>
            </w:r>
          </w:p>
        </w:tc>
      </w:tr>
      <w:tr w:rsidR="00F0595A" w14:paraId="0461971E" w14:textId="77777777" w:rsidTr="002C7253">
        <w:trPr>
          <w:cantSplit/>
          <w:jc w:val="center"/>
        </w:trPr>
        <w:tc>
          <w:tcPr>
            <w:tcW w:w="1838" w:type="dxa"/>
            <w:tcBorders>
              <w:bottom w:val="single" w:sz="4" w:space="0" w:color="auto"/>
            </w:tcBorders>
            <w:vAlign w:val="center"/>
          </w:tcPr>
          <w:p w14:paraId="310DAC77" w14:textId="77777777" w:rsidR="00F0595A" w:rsidRDefault="00F0595A" w:rsidP="00C820DE">
            <w:pPr>
              <w:spacing w:after="0"/>
              <w:jc w:val="left"/>
            </w:pPr>
            <w:r>
              <w:rPr>
                <w:rFonts w:eastAsia="Segoe UI"/>
                <w:sz w:val="16"/>
              </w:rPr>
              <w:t>Keputusan berbasis data</w:t>
            </w:r>
          </w:p>
        </w:tc>
        <w:tc>
          <w:tcPr>
            <w:tcW w:w="2569" w:type="dxa"/>
            <w:tcBorders>
              <w:bottom w:val="single" w:sz="4" w:space="0" w:color="auto"/>
            </w:tcBorders>
            <w:vAlign w:val="center"/>
          </w:tcPr>
          <w:p w14:paraId="749E2765" w14:textId="77777777" w:rsidR="00F0595A" w:rsidRDefault="00F0595A" w:rsidP="00C820DE">
            <w:pPr>
              <w:spacing w:after="0"/>
              <w:jc w:val="left"/>
            </w:pPr>
            <w:r>
              <w:rPr>
                <w:rFonts w:eastAsia="Segoe UI"/>
                <w:sz w:val="16"/>
              </w:rPr>
              <w:t>Dashboard sederhana: waktu tunggu, kunjungan ulang, keluhan, rekomendasi, dan isu fasilitas.</w:t>
            </w:r>
          </w:p>
        </w:tc>
        <w:tc>
          <w:tcPr>
            <w:tcW w:w="2569" w:type="dxa"/>
            <w:tcBorders>
              <w:bottom w:val="single" w:sz="4" w:space="0" w:color="auto"/>
            </w:tcBorders>
            <w:vAlign w:val="center"/>
          </w:tcPr>
          <w:p w14:paraId="725A550C" w14:textId="77777777" w:rsidR="00F0595A" w:rsidRDefault="00F0595A" w:rsidP="00C820DE">
            <w:pPr>
              <w:spacing w:after="0"/>
              <w:jc w:val="left"/>
            </w:pPr>
            <w:r>
              <w:rPr>
                <w:rFonts w:eastAsia="Segoe UI"/>
                <w:sz w:val="16"/>
              </w:rPr>
              <w:t>Perbaikan berbasis tren, bukan asumsi.</w:t>
            </w:r>
          </w:p>
        </w:tc>
        <w:tc>
          <w:tcPr>
            <w:tcW w:w="2091" w:type="dxa"/>
            <w:tcBorders>
              <w:bottom w:val="single" w:sz="4" w:space="0" w:color="auto"/>
            </w:tcBorders>
            <w:vAlign w:val="center"/>
          </w:tcPr>
          <w:p w14:paraId="0E7D9FA1" w14:textId="77777777" w:rsidR="00F0595A" w:rsidRDefault="00F0595A" w:rsidP="00C820DE">
            <w:pPr>
              <w:spacing w:after="0"/>
              <w:jc w:val="left"/>
            </w:pPr>
            <w:r>
              <w:rPr>
                <w:rFonts w:eastAsia="Segoe UI"/>
                <w:sz w:val="16"/>
              </w:rPr>
              <w:t>Menengah; 6–12 bulan</w:t>
            </w:r>
          </w:p>
        </w:tc>
      </w:tr>
    </w:tbl>
    <w:p w14:paraId="6B6FF0C8" w14:textId="77777777" w:rsidR="002C7253" w:rsidRDefault="002C7253" w:rsidP="00F0595A">
      <w:pPr>
        <w:pStyle w:val="IEEEParagraph"/>
        <w:spacing w:after="40"/>
        <w:ind w:firstLine="425"/>
        <w:rPr>
          <w:rFonts w:ascii="Segoe UI" w:eastAsia="Segoe UI" w:hAnsi="Segoe UI"/>
          <w:sz w:val="22"/>
          <w:lang w:val="sv-SE"/>
        </w:rPr>
      </w:pPr>
    </w:p>
    <w:p w14:paraId="24BE4397" w14:textId="2007EF31"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t>Prioritas manajerial pada Tabel 3 menunjukkan bahwa pengelolaan kualitas pelayanan perlu memadukan perbaikan struktur fisik dengan penguatan sistem. Untuk fasilitas, pengelola dapat menata kapasitas ruang tunggu dan mengembangkan solusi parkir yang realistis. Untuk proses, pengelola perlu mempertahankan appointment yang tepat waktu, menetapkan standar waktu respons, serta mendokumentasikan komunikasi klinis. Untuk hubungan interpersonal, pelatihan active listening dan komunikasi kepada pasien cemas dapat membantu menjaga empati sebagai kekuatan layanan. Mekanisme umpan balik melalui formulir singkat, QR code, pencatatan keluhan, dan review berkala dapat mengubah suara pasien menjadi informasi manajerial. World Health Organization (2025) juga menempatkan pengalaman yang dilaporkan pasien sebagai sumber penting untuk mengevaluasi akses, koordinasi, pelayanan berpusat pada manusia, dan pengalaman keseluruhan.</w:t>
      </w:r>
    </w:p>
    <w:p w14:paraId="3233C6D5" w14:textId="77777777" w:rsidR="00F0595A" w:rsidRPr="00F0595A" w:rsidRDefault="00F0595A" w:rsidP="002C7253">
      <w:pPr>
        <w:pStyle w:val="IEEEParagraph"/>
        <w:spacing w:after="40"/>
        <w:ind w:left="567" w:firstLine="425"/>
        <w:rPr>
          <w:lang w:val="sv-SE"/>
        </w:rPr>
      </w:pPr>
      <w:r w:rsidRPr="00F0595A">
        <w:rPr>
          <w:rFonts w:ascii="Segoe UI" w:eastAsia="Segoe UI" w:hAnsi="Segoe UI"/>
          <w:sz w:val="22"/>
          <w:lang w:val="sv-SE"/>
        </w:rPr>
        <w:lastRenderedPageBreak/>
        <w:t>Penelitian memiliki beberapa keterbatasan. Pertama, unit analisis hanya lima informan unik dengan jawaban yang umumnya singkat dan homogen, sehingga hasil tidak dimaksudkan untuk generalisasi statistik. Kedua, basis empiris Bab IV terutama berasal dari pasien; tidak tersedia data wawancara pengelola, dokter, atau staf untuk memverifikasi program peningkatan mutu yang telah berjalan. Ketiga, penelitian mengevaluasi kualitas yang dirasakan pelanggan dan tidak melakukan audit mutu klinis objektif seperti ketepatan diagnosis, sterilisasi, komplikasi, atau keberhasilan jangka panjang. Keterbatasan tersebut tidak menghilangkan kegunaan temuan sebagai identifikasi pola awal, tetapi menegaskan bahwa rekomendasi manajerial merupakan prioritas yang dirumuskan dari suara pasien, bukan evaluasi menyeluruh atas mutu klinis.</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Pr="00EA7E75" w:rsidRDefault="00985560" w:rsidP="00985560">
      <w:pPr>
        <w:pStyle w:val="Judul3"/>
        <w:ind w:left="993" w:hanging="426"/>
      </w:pPr>
      <w:r w:rsidRPr="00EA7E75">
        <w:t>KESIMPULAN</w:t>
      </w:r>
    </w:p>
    <w:p w14:paraId="3F141CC9" w14:textId="7695D90B" w:rsidR="002C7253" w:rsidRPr="002C7253" w:rsidRDefault="002C7253" w:rsidP="002C7253">
      <w:pPr>
        <w:pStyle w:val="IEEEParagraph"/>
        <w:ind w:left="567" w:right="322" w:firstLine="567"/>
        <w:rPr>
          <w:rFonts w:ascii="Segoe UI" w:hAnsi="Segoe UI" w:cs="Segoe UI"/>
          <w:sz w:val="24"/>
          <w:shd w:val="clear" w:color="auto" w:fill="FFFFFF"/>
          <w:lang w:val="fi-FI"/>
        </w:rPr>
      </w:pPr>
      <w:r w:rsidRPr="002C7253">
        <w:rPr>
          <w:rFonts w:ascii="Segoe UI" w:eastAsia="Segoe UI" w:hAnsi="Segoe UI"/>
          <w:sz w:val="22"/>
          <w:lang w:val="fi-FI"/>
        </w:rPr>
        <w:t xml:space="preserve">Kualitas pelayanan pada praktik mandiri dokter gigi dalam penelitian ini dipersepsikan sebagai pembentuk utama kepuasan pelanggan melalui kombinasi keandalan proses, daya tanggap, jaminan, dan empati. Reliability ditunjukkan oleh kesesuaian janji, ketepatan jadwal, akurasi informasi, administrasi yang baik, hasil perawatan yang memuaskan, dan kepercayaan. Responsiveness tercermin pada pendaftaran yang cepat, kesigapan membantu, tanggapan yang baik, waktu tunggu sesuai, dan kemudahan menghubungi klinik. </w:t>
      </w:r>
      <w:r w:rsidRPr="002C7253">
        <w:rPr>
          <w:rFonts w:ascii="Segoe UI" w:eastAsia="Segoe UI" w:hAnsi="Segoe UI"/>
          <w:sz w:val="22"/>
          <w:lang w:val="sv-SE"/>
        </w:rPr>
        <w:t>Assurance muncul melalui kompetensi, rasa aman, profesionalisme, penjelasan prosedur, dan transparansi biaya. Empathy menjadi dimensi interpersonal paling menonjol karena seluruh informan mengapresiasi perhatian, kemampuan mendengarkan, keramahan, perlakuan nondiskriminatif, dan pemahaman kebutuhan individual. Seluruh informan menilai kualitas pelayanan secara keseluruhan “bagus” dan bersedia merekomendasikan layanan. Di sisi lain, tangibles menunjukkan kesenjangan berulang pada ruang tunggu dan akses parkir. Oleh karena itu, pengelola perlu melakukan pendekatan ganda berupa quick wins pada fasilitas fisik dan penguatan sistem melalui ketepatan jadwal, standardisasi komunikasi, pelayanan empatik, mekanisme umpan balik, penanganan keluhan, dan indikator mutu sederhana. Penelitian selanjutnya disarankan memperluas variasi informan, melibatkan pengelola dan tenaga kesehatan, menggunakan probing yang lebih mendalam, serta mengombinasikan pendekatan kualitatif dengan survei SERVQUAL atau patient-reported experience measures untuk memperoleh pemetaan prioritas yang lebih komprehensif.</w:t>
      </w:r>
    </w:p>
    <w:p w14:paraId="7FB0DCD0" w14:textId="77777777" w:rsidR="002C7253" w:rsidRPr="003A4408" w:rsidRDefault="002C7253" w:rsidP="003A4408">
      <w:pPr>
        <w:pStyle w:val="IEEEParagraph"/>
        <w:ind w:left="567" w:right="322" w:firstLine="567"/>
        <w:rPr>
          <w:rStyle w:val="longtext"/>
          <w:rFonts w:ascii="Segoe UI" w:hAnsi="Segoe UI" w:cs="Segoe UI"/>
          <w:sz w:val="22"/>
          <w:szCs w:val="22"/>
          <w:shd w:val="clear" w:color="auto" w:fill="FFFFFF"/>
          <w:lang w:val="fi-FI"/>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3C64321A" w14:textId="48522989" w:rsidR="002C7253" w:rsidRPr="002C7253" w:rsidRDefault="002C7253" w:rsidP="002C7253">
      <w:pPr>
        <w:spacing w:after="40" w:line="240" w:lineRule="auto"/>
        <w:ind w:left="1418" w:hanging="851"/>
      </w:pPr>
      <w:r w:rsidRPr="002C7253">
        <w:rPr>
          <w:rFonts w:eastAsia="Segoe UI"/>
        </w:rPr>
        <w:t xml:space="preserve">Alfath, A. H., Paramarta, V., Nugroho, T., Rahmiyati, A. L., &amp; Kosasih. (2026). Analysis the effect of service quality on patient satisfaction at the Dental Clinic of Puskesmas Tanjungsari Bogor Regency West Java. </w:t>
      </w:r>
      <w:r w:rsidRPr="002C7253">
        <w:rPr>
          <w:rFonts w:eastAsia="Segoe UI"/>
          <w:i/>
          <w:iCs/>
        </w:rPr>
        <w:t>Multidisciplinary Output Research For Actual and International (MORFAI Journal),</w:t>
      </w:r>
      <w:r w:rsidRPr="002C7253">
        <w:rPr>
          <w:rFonts w:eastAsia="Segoe UI"/>
        </w:rPr>
        <w:t xml:space="preserve"> 6(3), 4205–4216.</w:t>
      </w:r>
    </w:p>
    <w:p w14:paraId="6AE2F665" w14:textId="77777777" w:rsidR="002C7253" w:rsidRPr="002C7253" w:rsidRDefault="002C7253" w:rsidP="002C7253">
      <w:pPr>
        <w:spacing w:after="40" w:line="240" w:lineRule="auto"/>
        <w:ind w:left="1418" w:hanging="851"/>
      </w:pPr>
      <w:r w:rsidRPr="002C7253">
        <w:rPr>
          <w:rFonts w:eastAsia="Segoe UI"/>
        </w:rPr>
        <w:t xml:space="preserve">Astuti, S., Nyorong, M., &amp; Januariana, N. E. (2022). Pengaruh pelayanan kesehatan gigi dan mulut terhadap kepuasan pasien di Puskesmas Sentosa Baru Kota Medan. </w:t>
      </w:r>
      <w:r w:rsidRPr="002C7253">
        <w:rPr>
          <w:rFonts w:eastAsia="Segoe UI"/>
          <w:i/>
          <w:iCs/>
        </w:rPr>
        <w:t>Jurnal Kesmas Prima Indonesia</w:t>
      </w:r>
      <w:r w:rsidRPr="002C7253">
        <w:rPr>
          <w:rFonts w:eastAsia="Segoe UI"/>
        </w:rPr>
        <w:t>, 2(2), 26–37.</w:t>
      </w:r>
    </w:p>
    <w:p w14:paraId="20137090" w14:textId="77777777" w:rsidR="002C7253" w:rsidRPr="002C7253" w:rsidRDefault="002C7253" w:rsidP="002C7253">
      <w:pPr>
        <w:spacing w:after="40" w:line="240" w:lineRule="auto"/>
        <w:ind w:left="1418" w:hanging="851"/>
      </w:pPr>
      <w:r w:rsidRPr="002C7253">
        <w:rPr>
          <w:rFonts w:eastAsia="Segoe UI"/>
        </w:rPr>
        <w:t xml:space="preserve">Haryanto, E., &amp; Olivia, S. (2023). Komunikasi terapeutik dan pengaruhnya terhadap kepuasan pasien pada pelayanan kesehatan. </w:t>
      </w:r>
      <w:r w:rsidRPr="002C7253">
        <w:rPr>
          <w:rFonts w:eastAsia="Segoe UI"/>
          <w:i/>
          <w:iCs/>
        </w:rPr>
        <w:t>Jurnal Manajemen Pelayanan Kesehatan</w:t>
      </w:r>
      <w:r w:rsidRPr="002C7253">
        <w:rPr>
          <w:rFonts w:eastAsia="Segoe UI"/>
        </w:rPr>
        <w:t>, 26(2), 88–97.</w:t>
      </w:r>
    </w:p>
    <w:p w14:paraId="24D1FF22" w14:textId="77777777" w:rsidR="002C7253" w:rsidRPr="002C7253" w:rsidRDefault="002C7253" w:rsidP="002C7253">
      <w:pPr>
        <w:spacing w:after="40" w:line="240" w:lineRule="auto"/>
        <w:ind w:left="1418" w:hanging="851"/>
      </w:pPr>
      <w:r w:rsidRPr="002C7253">
        <w:rPr>
          <w:rFonts w:eastAsia="Segoe UI"/>
        </w:rPr>
        <w:t xml:space="preserve">Ho, J. C. Y., Hui, J. C. Y., Chai, H. H., Huang, M. Z., Lo, E. C. M., &amp; Chu, C. H. (2026). Transforming dental care through empathetic and clear communication: A comprehensive review and </w:t>
      </w:r>
      <w:r w:rsidRPr="002C7253">
        <w:rPr>
          <w:rFonts w:eastAsia="Segoe UI"/>
        </w:rPr>
        <w:lastRenderedPageBreak/>
        <w:t xml:space="preserve">implementation framework. </w:t>
      </w:r>
      <w:r w:rsidRPr="00D448FE">
        <w:rPr>
          <w:rFonts w:eastAsia="Segoe UI"/>
          <w:i/>
          <w:iCs/>
        </w:rPr>
        <w:t>Dentistry Journal</w:t>
      </w:r>
      <w:r w:rsidRPr="002C7253">
        <w:rPr>
          <w:rFonts w:eastAsia="Segoe UI"/>
        </w:rPr>
        <w:t>, 14(2), 111. https://doi.org/10.3390/dj14020111</w:t>
      </w:r>
    </w:p>
    <w:p w14:paraId="27358562" w14:textId="77777777" w:rsidR="002C7253" w:rsidRPr="002C7253" w:rsidRDefault="002C7253" w:rsidP="002C7253">
      <w:pPr>
        <w:spacing w:after="40" w:line="240" w:lineRule="auto"/>
        <w:ind w:left="1418" w:hanging="851"/>
      </w:pPr>
      <w:r w:rsidRPr="002C7253">
        <w:rPr>
          <w:rFonts w:eastAsia="Segoe UI"/>
        </w:rPr>
        <w:t xml:space="preserve">Miles, M. B., Huberman, A. M., &amp; Saldaña, J. (2014). Qualitative data analysis: A methods sourcebook (3rd ed.). </w:t>
      </w:r>
      <w:r w:rsidRPr="00D448FE">
        <w:rPr>
          <w:rFonts w:eastAsia="Segoe UI"/>
          <w:i/>
          <w:iCs/>
        </w:rPr>
        <w:t>SAGE Publications</w:t>
      </w:r>
      <w:r w:rsidRPr="002C7253">
        <w:rPr>
          <w:rFonts w:eastAsia="Segoe UI"/>
        </w:rPr>
        <w:t>.</w:t>
      </w:r>
    </w:p>
    <w:p w14:paraId="4B4AC5C3" w14:textId="77777777" w:rsidR="002C7253" w:rsidRPr="002C7253" w:rsidRDefault="002C7253" w:rsidP="002C7253">
      <w:pPr>
        <w:spacing w:after="40" w:line="240" w:lineRule="auto"/>
        <w:ind w:left="1418" w:hanging="851"/>
      </w:pPr>
      <w:r w:rsidRPr="002C7253">
        <w:rPr>
          <w:rFonts w:eastAsia="Segoe UI"/>
        </w:rPr>
        <w:t>Nurhaeni. (2022). Tingkat patient satisfaction terhadap pelayanan poli gigi di Puskesmas. Jurnal Kesehatan Gigi, 21(1), 18–28.</w:t>
      </w:r>
    </w:p>
    <w:p w14:paraId="0E91966B" w14:textId="77777777" w:rsidR="002C7253" w:rsidRPr="002C7253" w:rsidRDefault="002C7253" w:rsidP="002C7253">
      <w:pPr>
        <w:spacing w:after="40" w:line="240" w:lineRule="auto"/>
        <w:ind w:left="1418" w:hanging="851"/>
      </w:pPr>
      <w:r w:rsidRPr="002C7253">
        <w:rPr>
          <w:rFonts w:eastAsia="Segoe UI"/>
        </w:rPr>
        <w:t xml:space="preserve">Nurhasanah, F., Suryani, L., Wirza, &amp; Wilis, R. (2025). Hubungan layanan kesehatan gigi dan mulut dengan kepuasan pasien. </w:t>
      </w:r>
      <w:r w:rsidRPr="00D448FE">
        <w:rPr>
          <w:rFonts w:eastAsia="Segoe UI"/>
          <w:i/>
          <w:iCs/>
        </w:rPr>
        <w:t>Jurnal Nasuwakes</w:t>
      </w:r>
      <w:r w:rsidRPr="002C7253">
        <w:rPr>
          <w:rFonts w:eastAsia="Segoe UI"/>
        </w:rPr>
        <w:t>, 18(1).</w:t>
      </w:r>
    </w:p>
    <w:p w14:paraId="024452C7" w14:textId="77777777" w:rsidR="002C7253" w:rsidRPr="002C7253" w:rsidRDefault="002C7253" w:rsidP="002C7253">
      <w:pPr>
        <w:spacing w:after="40" w:line="240" w:lineRule="auto"/>
        <w:ind w:left="1418" w:hanging="851"/>
      </w:pPr>
      <w:r w:rsidRPr="002C7253">
        <w:rPr>
          <w:rFonts w:eastAsia="Segoe UI"/>
        </w:rPr>
        <w:t xml:space="preserve">Öz, B., &amp; Saygili, M. (2026). Trust communication with dentists, perception of service quality, patient satisfaction in dental health services. </w:t>
      </w:r>
      <w:r w:rsidRPr="00D448FE">
        <w:rPr>
          <w:rFonts w:eastAsia="Segoe UI"/>
          <w:i/>
          <w:iCs/>
        </w:rPr>
        <w:t>Journal of Dental Education</w:t>
      </w:r>
      <w:r w:rsidRPr="002C7253">
        <w:rPr>
          <w:rFonts w:eastAsia="Segoe UI"/>
        </w:rPr>
        <w:t>, 90(3), 335–342. https://doi.org/10.1002/jdd.13955</w:t>
      </w:r>
    </w:p>
    <w:p w14:paraId="12284FD9" w14:textId="77777777" w:rsidR="002C7253" w:rsidRPr="002C7253" w:rsidRDefault="002C7253" w:rsidP="002C7253">
      <w:pPr>
        <w:spacing w:after="40" w:line="240" w:lineRule="auto"/>
        <w:ind w:left="1418" w:hanging="851"/>
      </w:pPr>
      <w:r w:rsidRPr="002C7253">
        <w:rPr>
          <w:rFonts w:eastAsia="Segoe UI"/>
        </w:rPr>
        <w:t xml:space="preserve">Paramarta, V., &amp; Rahmiyati, A. L. (2025). The effect of service quality on patient loyalty through patient satisfaction at the Dental and Oral Clinic of Mitra Kasih Hospital Cimahi. </w:t>
      </w:r>
      <w:r w:rsidRPr="00D448FE">
        <w:rPr>
          <w:rFonts w:eastAsia="Segoe UI"/>
          <w:i/>
          <w:iCs/>
        </w:rPr>
        <w:t>Jurnal Proteksi Kesehatan</w:t>
      </w:r>
      <w:r w:rsidRPr="002C7253">
        <w:rPr>
          <w:rFonts w:eastAsia="Segoe UI"/>
        </w:rPr>
        <w:t>, 14(1), 7–16.</w:t>
      </w:r>
    </w:p>
    <w:p w14:paraId="2F8BEA1D" w14:textId="77777777" w:rsidR="002C7253" w:rsidRPr="002C7253" w:rsidRDefault="002C7253" w:rsidP="002C7253">
      <w:pPr>
        <w:spacing w:after="40" w:line="240" w:lineRule="auto"/>
        <w:ind w:left="1418" w:hanging="851"/>
      </w:pPr>
      <w:r w:rsidRPr="002C7253">
        <w:rPr>
          <w:rFonts w:eastAsia="Segoe UI"/>
        </w:rPr>
        <w:t xml:space="preserve">Parasuraman, A., Zeithaml, V. A., &amp; Berry, L. L. (1988). SERVQUAL: A multiple-item scale for measuring consumer perceptions of service quality. </w:t>
      </w:r>
      <w:r w:rsidRPr="00D448FE">
        <w:rPr>
          <w:rFonts w:eastAsia="Segoe UI"/>
          <w:i/>
          <w:iCs/>
        </w:rPr>
        <w:t>Journal of Retailing</w:t>
      </w:r>
      <w:r w:rsidRPr="002C7253">
        <w:rPr>
          <w:rFonts w:eastAsia="Segoe UI"/>
        </w:rPr>
        <w:t>, 64(1), 12–40.</w:t>
      </w:r>
    </w:p>
    <w:p w14:paraId="25A12072" w14:textId="77777777" w:rsidR="002C7253" w:rsidRPr="002C7253" w:rsidRDefault="002C7253" w:rsidP="002C7253">
      <w:pPr>
        <w:spacing w:after="40" w:line="240" w:lineRule="auto"/>
        <w:ind w:left="1418" w:hanging="851"/>
      </w:pPr>
      <w:r w:rsidRPr="002C7253">
        <w:rPr>
          <w:rFonts w:eastAsia="Segoe UI"/>
        </w:rPr>
        <w:t>Rahmadani, R., &amp; Sulistyowati, E. (2026). Pengaruh kualitas pelayanan dan citra terhadap loyalitas pasien melalui kepuasan pasien sebagai variabel mediasi</w:t>
      </w:r>
      <w:r w:rsidRPr="00D448FE">
        <w:rPr>
          <w:rFonts w:eastAsia="Segoe UI"/>
          <w:i/>
          <w:iCs/>
        </w:rPr>
        <w:t>. EKOMA: Jurnal Ekonomi, Manajemen, Akuntansi</w:t>
      </w:r>
      <w:r w:rsidRPr="002C7253">
        <w:rPr>
          <w:rFonts w:eastAsia="Segoe UI"/>
        </w:rPr>
        <w:t>, 5(4), 4109–4120.</w:t>
      </w:r>
    </w:p>
    <w:p w14:paraId="31667AF3" w14:textId="77777777" w:rsidR="002C7253" w:rsidRPr="002C7253" w:rsidRDefault="002C7253" w:rsidP="002C7253">
      <w:pPr>
        <w:spacing w:after="40" w:line="240" w:lineRule="auto"/>
        <w:ind w:left="1418" w:hanging="851"/>
      </w:pPr>
      <w:r w:rsidRPr="002C7253">
        <w:rPr>
          <w:rFonts w:eastAsia="Segoe UI"/>
        </w:rPr>
        <w:t>Sugiyono. (2023). Metode penelitian kualitatif. Alfabeta.</w:t>
      </w:r>
    </w:p>
    <w:p w14:paraId="43878555" w14:textId="77777777" w:rsidR="002C7253" w:rsidRPr="002C7253" w:rsidRDefault="002C7253" w:rsidP="002C7253">
      <w:pPr>
        <w:spacing w:after="40" w:line="240" w:lineRule="auto"/>
        <w:ind w:left="1418" w:hanging="851"/>
      </w:pPr>
      <w:r w:rsidRPr="002C7253">
        <w:rPr>
          <w:rFonts w:eastAsia="Segoe UI"/>
        </w:rPr>
        <w:t xml:space="preserve">Wolf, J. A., Niederhauser, V., Marshburn, D., &amp; LaVela, S. L. (2021). Defining patient experience. </w:t>
      </w:r>
      <w:r w:rsidRPr="00D448FE">
        <w:rPr>
          <w:rFonts w:eastAsia="Segoe UI"/>
          <w:i/>
          <w:iCs/>
        </w:rPr>
        <w:t>Patient Experience Journa</w:t>
      </w:r>
      <w:r w:rsidRPr="002C7253">
        <w:rPr>
          <w:rFonts w:eastAsia="Segoe UI"/>
        </w:rPr>
        <w:t>l, 8(1), 7–19.</w:t>
      </w:r>
    </w:p>
    <w:p w14:paraId="4112EB8A" w14:textId="77777777" w:rsidR="002C7253" w:rsidRPr="002C7253" w:rsidRDefault="002C7253" w:rsidP="002C7253">
      <w:pPr>
        <w:spacing w:after="40" w:line="240" w:lineRule="auto"/>
        <w:ind w:left="1418" w:hanging="851"/>
      </w:pPr>
      <w:r w:rsidRPr="002C7253">
        <w:rPr>
          <w:rFonts w:eastAsia="Segoe UI"/>
        </w:rPr>
        <w:t xml:space="preserve">World Health Organization. (2025). Patient-reported experiences in primary care: Metrics and assessment tool, reference version. </w:t>
      </w:r>
      <w:r w:rsidRPr="00D448FE">
        <w:rPr>
          <w:rFonts w:eastAsia="Segoe UI"/>
          <w:i/>
          <w:iCs/>
        </w:rPr>
        <w:t>World Health Organization</w:t>
      </w:r>
      <w:r w:rsidRPr="002C7253">
        <w:rPr>
          <w:rFonts w:eastAsia="Segoe UI"/>
        </w:rPr>
        <w:t>.</w:t>
      </w:r>
    </w:p>
    <w:p w14:paraId="5E84CDA2" w14:textId="0DE2E8EC"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CB22" w14:textId="77777777" w:rsidR="00A9189D" w:rsidRDefault="00A9189D" w:rsidP="009B0AF6">
      <w:pPr>
        <w:spacing w:after="0" w:line="240" w:lineRule="auto"/>
      </w:pPr>
      <w:r>
        <w:separator/>
      </w:r>
    </w:p>
  </w:endnote>
  <w:endnote w:type="continuationSeparator" w:id="0">
    <w:p w14:paraId="7B37FD23" w14:textId="77777777" w:rsidR="00A9189D" w:rsidRDefault="00A9189D"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1764" w14:textId="77777777" w:rsidR="00D448FE" w:rsidRDefault="00D44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69FB085"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D448FE" w:rsidRPr="00D448FE">
          <w:rPr>
            <w:rFonts w:cs="Segoe UI"/>
            <w:noProof/>
            <w:sz w:val="18"/>
            <w:szCs w:val="18"/>
            <w:lang w:val="fi-FI"/>
          </w:rPr>
          <w:t>Andriany1*, Natalia Paranoan2, Hendrik Gunadi3</w:t>
        </w:r>
        <w:r w:rsidR="001E0508" w:rsidRPr="00950641">
          <w:rPr>
            <w:rFonts w:cs="Segoe UI"/>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D543" w14:textId="77777777" w:rsidR="00D448FE" w:rsidRDefault="00D4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332A" w14:textId="77777777" w:rsidR="00A9189D" w:rsidRDefault="00A9189D" w:rsidP="009B0AF6">
      <w:pPr>
        <w:spacing w:after="0" w:line="240" w:lineRule="auto"/>
      </w:pPr>
      <w:r>
        <w:separator/>
      </w:r>
    </w:p>
  </w:footnote>
  <w:footnote w:type="continuationSeparator" w:id="0">
    <w:p w14:paraId="2492B2B0" w14:textId="77777777" w:rsidR="00A9189D" w:rsidRDefault="00A9189D"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4C82" w14:textId="77777777" w:rsidR="00D448FE" w:rsidRDefault="00D4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Judul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C7253"/>
    <w:rsid w:val="002D6D99"/>
    <w:rsid w:val="00301FA5"/>
    <w:rsid w:val="00307E02"/>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263B"/>
    <w:rsid w:val="00521D13"/>
    <w:rsid w:val="005362BB"/>
    <w:rsid w:val="00550BFE"/>
    <w:rsid w:val="00581638"/>
    <w:rsid w:val="00587FB4"/>
    <w:rsid w:val="0059044B"/>
    <w:rsid w:val="005B7859"/>
    <w:rsid w:val="005C6A72"/>
    <w:rsid w:val="005D710E"/>
    <w:rsid w:val="005E1485"/>
    <w:rsid w:val="005F5796"/>
    <w:rsid w:val="00613274"/>
    <w:rsid w:val="006269EE"/>
    <w:rsid w:val="00633241"/>
    <w:rsid w:val="006658E1"/>
    <w:rsid w:val="00676A1B"/>
    <w:rsid w:val="00697CB9"/>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189D"/>
    <w:rsid w:val="00A93261"/>
    <w:rsid w:val="00AA1DA5"/>
    <w:rsid w:val="00AC334E"/>
    <w:rsid w:val="00AD7C4B"/>
    <w:rsid w:val="00AF6C61"/>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D799E"/>
    <w:rsid w:val="00CE0180"/>
    <w:rsid w:val="00D448FE"/>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273AD"/>
    <w:rsid w:val="00E3722F"/>
    <w:rsid w:val="00E37C1B"/>
    <w:rsid w:val="00E538A0"/>
    <w:rsid w:val="00E854CC"/>
    <w:rsid w:val="00EA7010"/>
    <w:rsid w:val="00EA7E75"/>
    <w:rsid w:val="00EB308B"/>
    <w:rsid w:val="00ED73C9"/>
    <w:rsid w:val="00EF065F"/>
    <w:rsid w:val="00EF2199"/>
    <w:rsid w:val="00F0595A"/>
    <w:rsid w:val="00F47AF5"/>
    <w:rsid w:val="00F61991"/>
    <w:rsid w:val="00F91DA0"/>
    <w:rsid w:val="00FD22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Judul1">
    <w:name w:val="heading 1"/>
    <w:basedOn w:val="Normal"/>
    <w:next w:val="Normal"/>
    <w:link w:val="Judul1K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Judul2">
    <w:name w:val="heading 2"/>
    <w:basedOn w:val="Normal"/>
    <w:next w:val="Normal"/>
    <w:link w:val="Judul2K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Judul3">
    <w:name w:val="heading 3"/>
    <w:basedOn w:val="Normal"/>
    <w:next w:val="Normal"/>
    <w:link w:val="Judul3K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Judul4">
    <w:name w:val="heading 4"/>
    <w:basedOn w:val="Normal"/>
    <w:next w:val="Normal"/>
    <w:link w:val="Judul4K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9B0AF6"/>
    <w:pPr>
      <w:tabs>
        <w:tab w:val="center" w:pos="4513"/>
        <w:tab w:val="right" w:pos="9026"/>
      </w:tabs>
      <w:spacing w:after="0" w:line="240" w:lineRule="auto"/>
    </w:pPr>
  </w:style>
  <w:style w:type="character" w:customStyle="1" w:styleId="HeaderKAR">
    <w:name w:val="Header KAR"/>
    <w:basedOn w:val="FontParagrafDefault"/>
    <w:link w:val="Header"/>
    <w:uiPriority w:val="99"/>
    <w:rsid w:val="009B0AF6"/>
  </w:style>
  <w:style w:type="paragraph" w:styleId="Footer">
    <w:name w:val="footer"/>
    <w:basedOn w:val="Normal"/>
    <w:link w:val="FooterKAR"/>
    <w:uiPriority w:val="99"/>
    <w:unhideWhenUsed/>
    <w:rsid w:val="009B0AF6"/>
    <w:pPr>
      <w:tabs>
        <w:tab w:val="center" w:pos="4513"/>
        <w:tab w:val="right" w:pos="9026"/>
      </w:tabs>
      <w:spacing w:after="0" w:line="240" w:lineRule="auto"/>
    </w:pPr>
  </w:style>
  <w:style w:type="character" w:customStyle="1" w:styleId="FooterKAR">
    <w:name w:val="Footer KAR"/>
    <w:basedOn w:val="FontParagrafDefault"/>
    <w:link w:val="Footer"/>
    <w:uiPriority w:val="99"/>
    <w:rsid w:val="009B0AF6"/>
  </w:style>
  <w:style w:type="character" w:styleId="Hyperlink">
    <w:name w:val="Hyperlink"/>
    <w:basedOn w:val="FontParagrafDefault"/>
    <w:uiPriority w:val="99"/>
    <w:unhideWhenUsed/>
    <w:rsid w:val="00F61991"/>
    <w:rPr>
      <w:color w:val="0563C1" w:themeColor="hyperlink"/>
      <w:u w:val="single"/>
    </w:rPr>
  </w:style>
  <w:style w:type="character" w:customStyle="1" w:styleId="Judul1KAR">
    <w:name w:val="Judul 1 KAR"/>
    <w:basedOn w:val="FontParagrafDefault"/>
    <w:link w:val="Judul1"/>
    <w:uiPriority w:val="9"/>
    <w:rsid w:val="005B7859"/>
    <w:rPr>
      <w:rFonts w:asciiTheme="majorHAnsi" w:eastAsiaTheme="majorEastAsia" w:hAnsiTheme="majorHAnsi" w:cstheme="majorBidi"/>
      <w:color w:val="2E74B5" w:themeColor="accent1" w:themeShade="BF"/>
      <w:sz w:val="32"/>
      <w:szCs w:val="32"/>
    </w:rPr>
  </w:style>
  <w:style w:type="table" w:styleId="KisiTabel">
    <w:name w:val="Table Grid"/>
    <w:basedOn w:val="Tabel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Penekanan">
    <w:name w:val="Emphasis"/>
    <w:basedOn w:val="FontParagrafDefault"/>
    <w:uiPriority w:val="20"/>
    <w:qFormat/>
    <w:rsid w:val="00B34841"/>
    <w:rPr>
      <w:i/>
      <w:iCs/>
    </w:rPr>
  </w:style>
  <w:style w:type="character" w:styleId="Kuat">
    <w:name w:val="Strong"/>
    <w:basedOn w:val="FontParagrafDefault"/>
    <w:uiPriority w:val="22"/>
    <w:qFormat/>
    <w:rsid w:val="00147D80"/>
    <w:rPr>
      <w:b/>
      <w:bCs/>
    </w:rPr>
  </w:style>
  <w:style w:type="paragraph" w:styleId="DaftarParagraf">
    <w:name w:val="List Paragraph"/>
    <w:aliases w:val="kepala,skripsi,Body Text Char1,Char Char2,List Paragraph2,List Paragraph1,spasi 2 taiiii,Body of text,heading 3"/>
    <w:basedOn w:val="Normal"/>
    <w:link w:val="DaftarParagrafKAR"/>
    <w:uiPriority w:val="1"/>
    <w:qFormat/>
    <w:rsid w:val="00C676AF"/>
    <w:pPr>
      <w:spacing w:after="200" w:line="276" w:lineRule="auto"/>
      <w:ind w:left="720"/>
      <w:contextualSpacing/>
    </w:pPr>
  </w:style>
  <w:style w:type="character" w:customStyle="1" w:styleId="DaftarParagrafKAR">
    <w:name w:val="Daftar Paragraf KAR"/>
    <w:aliases w:val="kepala KAR,skripsi KAR,Body Text Char1 KAR,Char Char2 KAR,List Paragraph2 KAR,List Paragraph1 KAR,spasi 2 taiiii KAR,Body of text KAR,heading 3 KAR"/>
    <w:basedOn w:val="FontParagrafDefault"/>
    <w:link w:val="DaftarParagraf"/>
    <w:uiPriority w:val="34"/>
    <w:qFormat/>
    <w:locked/>
    <w:rsid w:val="00C676AF"/>
  </w:style>
  <w:style w:type="paragraph" w:styleId="TeksIsi">
    <w:name w:val="Body Text"/>
    <w:basedOn w:val="Normal"/>
    <w:link w:val="TeksIsiK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TeksIsiKAR">
    <w:name w:val="Teks Isi KAR"/>
    <w:basedOn w:val="FontParagrafDefault"/>
    <w:link w:val="TeksIsi"/>
    <w:uiPriority w:val="1"/>
    <w:rsid w:val="00C36D2B"/>
    <w:rPr>
      <w:rFonts w:ascii="Arial" w:eastAsia="Arial" w:hAnsi="Arial" w:cs="Arial"/>
      <w:lang w:val="en-GB"/>
    </w:rPr>
  </w:style>
  <w:style w:type="paragraph" w:styleId="TeksBalon">
    <w:name w:val="Balloon Text"/>
    <w:basedOn w:val="Normal"/>
    <w:link w:val="TeksBalonKAR"/>
    <w:uiPriority w:val="99"/>
    <w:semiHidden/>
    <w:unhideWhenUsed/>
    <w:rsid w:val="00C36D2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36D2B"/>
    <w:rPr>
      <w:rFonts w:ascii="Tahoma" w:hAnsi="Tahoma" w:cs="Tahoma"/>
      <w:sz w:val="16"/>
      <w:szCs w:val="16"/>
    </w:rPr>
  </w:style>
  <w:style w:type="character" w:styleId="SebutanYangBelumTerselesaikan">
    <w:name w:val="Unresolved Mention"/>
    <w:basedOn w:val="FontParagrafDefault"/>
    <w:uiPriority w:val="99"/>
    <w:semiHidden/>
    <w:unhideWhenUsed/>
    <w:rsid w:val="001E0508"/>
    <w:rPr>
      <w:color w:val="605E5C"/>
      <w:shd w:val="clear" w:color="auto" w:fill="E1DFDD"/>
    </w:rPr>
  </w:style>
  <w:style w:type="character" w:customStyle="1" w:styleId="Judul3KAR">
    <w:name w:val="Judul 3 KAR"/>
    <w:basedOn w:val="FontParagrafDefault"/>
    <w:link w:val="Judul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TidakAdaDaftar"/>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FontParagrafDefault"/>
    <w:rsid w:val="001E0508"/>
  </w:style>
  <w:style w:type="character" w:customStyle="1" w:styleId="longtext">
    <w:name w:val="long_text"/>
    <w:basedOn w:val="FontParagrafDefault"/>
    <w:rsid w:val="001E0508"/>
  </w:style>
  <w:style w:type="character" w:customStyle="1" w:styleId="mediumtext">
    <w:name w:val="medium_text"/>
    <w:basedOn w:val="FontParagrafDefault"/>
    <w:rsid w:val="001E0508"/>
  </w:style>
  <w:style w:type="character" w:customStyle="1" w:styleId="Judul2KAR">
    <w:name w:val="Judul 2 KAR"/>
    <w:basedOn w:val="FontParagrafDefault"/>
    <w:link w:val="Judul2"/>
    <w:uiPriority w:val="9"/>
    <w:rsid w:val="00955050"/>
    <w:rPr>
      <w:rFonts w:ascii="Segoe UI" w:eastAsiaTheme="majorEastAsia" w:hAnsi="Segoe UI" w:cstheme="majorBidi"/>
      <w:b/>
      <w:i/>
      <w:sz w:val="24"/>
      <w:szCs w:val="26"/>
    </w:rPr>
  </w:style>
  <w:style w:type="character" w:customStyle="1" w:styleId="Judul4KAR">
    <w:name w:val="Judul 4 KAR"/>
    <w:basedOn w:val="FontParagrafDefault"/>
    <w:link w:val="Judul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js.ukipaulus.ac.id/index.php/psn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4501</Words>
  <Characters>25657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dr atusbuku</cp:lastModifiedBy>
  <cp:revision>4</cp:revision>
  <cp:lastPrinted>2023-04-17T18:59:00Z</cp:lastPrinted>
  <dcterms:created xsi:type="dcterms:W3CDTF">2026-08-12T14:37:00Z</dcterms:created>
  <dcterms:modified xsi:type="dcterms:W3CDTF">2026-08-14T01:11:00Z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