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CDB" w:rsidRDefault="000821D4">
      <w:pPr>
        <w:spacing w:after="120"/>
        <w:jc w:val="center"/>
        <w:rPr>
          <w:b/>
          <w:bCs/>
          <w:sz w:val="30"/>
          <w:szCs w:val="30"/>
        </w:rPr>
      </w:pPr>
      <w:r w:rsidRPr="00766CDB">
        <w:rPr>
          <w:b/>
          <w:bCs/>
          <w:i/>
          <w:sz w:val="30"/>
          <w:szCs w:val="30"/>
        </w:rPr>
        <w:t>HUMAN CAPITAL</w:t>
      </w:r>
      <w:r>
        <w:rPr>
          <w:b/>
          <w:bCs/>
          <w:sz w:val="30"/>
          <w:szCs w:val="30"/>
        </w:rPr>
        <w:t xml:space="preserve"> DALAM PERSPEKTIF AKUNTANSI: </w:t>
      </w:r>
    </w:p>
    <w:p w:rsidR="00293753" w:rsidRDefault="000821D4">
      <w:pPr>
        <w:spacing w:after="120"/>
        <w:jc w:val="center"/>
      </w:pPr>
      <w:r>
        <w:rPr>
          <w:b/>
          <w:bCs/>
          <w:sz w:val="30"/>
          <w:szCs w:val="30"/>
        </w:rPr>
        <w:t>STUDI KUALITATIF TENTANG PENGAKUAN, PENGUKURAN, DAN PENGUNGKAPAN MODAL MANUSIA</w:t>
      </w:r>
    </w:p>
    <w:p w:rsidR="00293753" w:rsidRDefault="000821D4">
      <w:pPr>
        <w:spacing w:after="60"/>
        <w:jc w:val="center"/>
      </w:pPr>
      <w:r>
        <w:rPr>
          <w:i/>
          <w:iCs/>
          <w:sz w:val="22"/>
          <w:szCs w:val="22"/>
        </w:rPr>
        <w:t>[</w:t>
      </w:r>
      <w:r w:rsidR="00766CDB">
        <w:rPr>
          <w:i/>
          <w:iCs/>
          <w:sz w:val="22"/>
          <w:szCs w:val="22"/>
        </w:rPr>
        <w:t xml:space="preserve">Erna </w:t>
      </w:r>
      <w:proofErr w:type="gramStart"/>
      <w:r w:rsidR="00766CDB">
        <w:rPr>
          <w:i/>
          <w:iCs/>
          <w:sz w:val="22"/>
          <w:szCs w:val="22"/>
        </w:rPr>
        <w:t>Pasanda</w:t>
      </w:r>
      <w:r>
        <w:rPr>
          <w:i/>
          <w:iCs/>
          <w:sz w:val="22"/>
          <w:szCs w:val="22"/>
        </w:rPr>
        <w:t>]¹</w:t>
      </w:r>
      <w:proofErr w:type="gramEnd"/>
      <w:r>
        <w:rPr>
          <w:i/>
          <w:iCs/>
          <w:sz w:val="22"/>
          <w:szCs w:val="22"/>
        </w:rPr>
        <w:t>, [</w:t>
      </w:r>
      <w:r w:rsidR="00766CDB" w:rsidRPr="00766CDB">
        <w:rPr>
          <w:i/>
          <w:color w:val="000000"/>
          <w:sz w:val="22"/>
          <w:szCs w:val="22"/>
          <w:shd w:val="clear" w:color="auto" w:fill="FFFFFF"/>
        </w:rPr>
        <w:t>Afian Dezi Sanda Sipi</w:t>
      </w:r>
      <w:r>
        <w:rPr>
          <w:i/>
          <w:iCs/>
          <w:sz w:val="22"/>
          <w:szCs w:val="22"/>
        </w:rPr>
        <w:t>]²</w:t>
      </w:r>
    </w:p>
    <w:p w:rsidR="00293753" w:rsidRDefault="000821D4">
      <w:pPr>
        <w:spacing w:after="300"/>
        <w:jc w:val="center"/>
      </w:pPr>
      <w:r>
        <w:rPr>
          <w:i/>
          <w:iCs/>
          <w:sz w:val="20"/>
          <w:szCs w:val="20"/>
        </w:rPr>
        <w:t>¹˒²Program Studi Akuntansi, [</w:t>
      </w:r>
      <w:r w:rsidR="003D3FC2">
        <w:rPr>
          <w:i/>
          <w:iCs/>
          <w:sz w:val="20"/>
          <w:szCs w:val="20"/>
        </w:rPr>
        <w:t>Universitas Kristen Indonesia Paulus</w:t>
      </w:r>
      <w:r>
        <w:rPr>
          <w:i/>
          <w:iCs/>
          <w:sz w:val="20"/>
          <w:szCs w:val="20"/>
        </w:rPr>
        <w:t>] — Surel korespondensi: [</w:t>
      </w:r>
      <w:r w:rsidR="003D3FC2">
        <w:rPr>
          <w:i/>
          <w:iCs/>
          <w:sz w:val="20"/>
          <w:szCs w:val="20"/>
        </w:rPr>
        <w:t>erna@ukipaulus</w:t>
      </w:r>
      <w:bookmarkStart w:id="0" w:name="_GoBack"/>
      <w:bookmarkEnd w:id="0"/>
      <w:r>
        <w:rPr>
          <w:i/>
          <w:iCs/>
          <w:sz w:val="20"/>
          <w:szCs w:val="20"/>
        </w:rPr>
        <w:t>.ac.id]</w:t>
      </w:r>
    </w:p>
    <w:p w:rsidR="00293753" w:rsidRDefault="000821D4">
      <w:pPr>
        <w:pStyle w:val="Heading1"/>
        <w:spacing w:before="320" w:after="160"/>
      </w:pPr>
      <w:r>
        <w:rPr>
          <w:b/>
          <w:bCs/>
          <w:sz w:val="26"/>
          <w:szCs w:val="26"/>
        </w:rPr>
        <w:t>ABSTRAK</w:t>
      </w:r>
    </w:p>
    <w:p w:rsidR="00293753" w:rsidRDefault="000821D4">
      <w:pPr>
        <w:spacing w:after="200" w:line="360" w:lineRule="auto"/>
        <w:jc w:val="both"/>
      </w:pPr>
      <w:r w:rsidRPr="003D3FC2">
        <w:rPr>
          <w:i/>
        </w:rPr>
        <w:t>Human capital</w:t>
      </w:r>
      <w:r>
        <w:t xml:space="preserve"> merupakan salah satu komponen modal intelektual yang paling sulit direpresentasikan dalam sistem akuntansi konvensional, sebab kerangka akuntansi keuangan yang berlaku umum mensyaratkan keandalan pengukuran dan kepastian pengendalian sumber daya sebagai prasyarat pengakuan </w:t>
      </w:r>
      <w:proofErr w:type="gramStart"/>
      <w:r>
        <w:t>aset</w:t>
      </w:r>
      <w:r w:rsidR="003D3FC2">
        <w:t>,</w:t>
      </w:r>
      <w:r>
        <w:t>dua</w:t>
      </w:r>
      <w:proofErr w:type="gramEnd"/>
      <w:r>
        <w:t xml:space="preserve"> kriteria yang secara inheren sulit dipenuhi oleh manusia sebagai sumber nilai perusahaan. Artikel ini bertujuan mengeksplorasi bagaimana </w:t>
      </w:r>
      <w:r w:rsidRPr="003D3FC2">
        <w:rPr>
          <w:i/>
        </w:rPr>
        <w:t>human capital</w:t>
      </w:r>
      <w:r>
        <w:t xml:space="preserve"> dipahami, diperlakukan, diukur, dan diungkapkan dalam praktik dan wacana akuntansi. Penelitian ini menggunakan pendekatan kualitatif melalui studi kepustakaan (</w:t>
      </w:r>
      <w:r w:rsidRPr="003D3FC2">
        <w:rPr>
          <w:i/>
        </w:rPr>
        <w:t>library research</w:t>
      </w:r>
      <w:r>
        <w:t>) dengan teknik analisis dokumen terhadap literatur akuntansi sumber daya manusia (</w:t>
      </w:r>
      <w:r w:rsidRPr="003D3FC2">
        <w:rPr>
          <w:i/>
        </w:rPr>
        <w:t>human resource accounting</w:t>
      </w:r>
      <w:r>
        <w:t>) dan modal intelektual (</w:t>
      </w:r>
      <w:r w:rsidRPr="003D3FC2">
        <w:rPr>
          <w:i/>
        </w:rPr>
        <w:t>intellectual capital</w:t>
      </w:r>
      <w:r>
        <w:t xml:space="preserve">) yang dipublikasikan pada jurnal terindeks nasional maupun internasional. Hasil kajian menunjukkan bahwa terdapat tiga isu sentral dalam akuntansi </w:t>
      </w:r>
      <w:r w:rsidRPr="003D3FC2">
        <w:rPr>
          <w:i/>
        </w:rPr>
        <w:t>human capital</w:t>
      </w:r>
      <w:r>
        <w:t>, yaitu pengakuan (</w:t>
      </w:r>
      <w:r w:rsidRPr="003D3FC2">
        <w:rPr>
          <w:i/>
        </w:rPr>
        <w:t>recognition</w:t>
      </w:r>
      <w:r>
        <w:t>), pengukuran (</w:t>
      </w:r>
      <w:r w:rsidRPr="003D3FC2">
        <w:rPr>
          <w:i/>
        </w:rPr>
        <w:t>measurement</w:t>
      </w:r>
      <w:r>
        <w:t>), dan pengungkapan (</w:t>
      </w:r>
      <w:r w:rsidRPr="002C35A4">
        <w:rPr>
          <w:i/>
        </w:rPr>
        <w:t>disclosure</w:t>
      </w:r>
      <w:r>
        <w:t>). Secara pengakuan, standar akuntansi keuangan yang berlaku belum mengakui manusia sebagai aset yang dapat dikapitalisasi karena perusahaan tidak memiliki kendali eksklusif atas tenaga kerjanya. Secara pengukuran, berbagai model telah dikembangkan, mulai dari pendekatan berbasis biaya (</w:t>
      </w:r>
      <w:r w:rsidRPr="002511B9">
        <w:rPr>
          <w:i/>
        </w:rPr>
        <w:t>cost-based</w:t>
      </w:r>
      <w:r>
        <w:t>), pendekatan nilai ekonomis (</w:t>
      </w:r>
      <w:r w:rsidRPr="002511B9">
        <w:rPr>
          <w:i/>
        </w:rPr>
        <w:t>economic value</w:t>
      </w:r>
      <w:r>
        <w:t xml:space="preserve">), hingga model </w:t>
      </w:r>
      <w:r w:rsidRPr="002511B9">
        <w:rPr>
          <w:i/>
        </w:rPr>
        <w:t>Value Added Intellectual Coeffici</w:t>
      </w:r>
      <w:r>
        <w:t xml:space="preserve">ent (VAIC) yang mengukur efisiensi </w:t>
      </w:r>
      <w:r w:rsidRPr="002511B9">
        <w:rPr>
          <w:i/>
        </w:rPr>
        <w:t>human capital</w:t>
      </w:r>
      <w:r>
        <w:t xml:space="preserve"> secara tidak langsung melalui nilai tambah perusahaan. Secara pengungkapan, praktik pelaporan </w:t>
      </w:r>
      <w:r w:rsidRPr="002511B9">
        <w:rPr>
          <w:i/>
        </w:rPr>
        <w:t>human capital</w:t>
      </w:r>
      <w:r>
        <w:t xml:space="preserve"> masih bersifat sukarela (</w:t>
      </w:r>
      <w:r w:rsidRPr="002511B9">
        <w:rPr>
          <w:i/>
        </w:rPr>
        <w:t>voluntary disclosure</w:t>
      </w:r>
      <w:r>
        <w:t xml:space="preserve">), tidak seragam antarperusahaan, dan didominasi oleh informasi naratif serta kualitatif dibandingkan informasi moneter. Artikel ini menyimpulkan bahwa akuntansi </w:t>
      </w:r>
      <w:r w:rsidRPr="002511B9">
        <w:rPr>
          <w:i/>
        </w:rPr>
        <w:t>human capital</w:t>
      </w:r>
      <w:r>
        <w:t xml:space="preserve"> masih berada pada tahap perkembangan konseptual dan memerlukan kerangka pelaporan yang lebih terstandardisasi agar informasi mengenai modal manusia dapat menjadi lebih relevan dan dapat diperbandingkan bagi pengguna laporan keuangan.</w:t>
      </w:r>
    </w:p>
    <w:p w:rsidR="00293753" w:rsidRDefault="000821D4">
      <w:pPr>
        <w:spacing w:after="200" w:line="360" w:lineRule="auto"/>
        <w:jc w:val="both"/>
      </w:pPr>
      <w:r>
        <w:lastRenderedPageBreak/>
        <w:t xml:space="preserve">Kata kunci: </w:t>
      </w:r>
      <w:r w:rsidR="002511B9">
        <w:rPr>
          <w:i/>
          <w:iCs/>
        </w:rPr>
        <w:t>Human Capital</w:t>
      </w:r>
      <w:r>
        <w:rPr>
          <w:i/>
          <w:iCs/>
        </w:rPr>
        <w:t xml:space="preserve">; </w:t>
      </w:r>
      <w:r w:rsidR="002511B9">
        <w:rPr>
          <w:i/>
          <w:iCs/>
        </w:rPr>
        <w:t>Akuntansi Sumber Daya Manusia</w:t>
      </w:r>
      <w:r>
        <w:rPr>
          <w:i/>
          <w:iCs/>
        </w:rPr>
        <w:t xml:space="preserve">; </w:t>
      </w:r>
      <w:r w:rsidR="002511B9">
        <w:rPr>
          <w:i/>
          <w:iCs/>
        </w:rPr>
        <w:t>Modal Intelektual</w:t>
      </w:r>
      <w:r>
        <w:rPr>
          <w:i/>
          <w:iCs/>
        </w:rPr>
        <w:t xml:space="preserve">; </w:t>
      </w:r>
      <w:r w:rsidR="002511B9">
        <w:rPr>
          <w:i/>
          <w:iCs/>
        </w:rPr>
        <w:t>Pengungkapan; Penelitian Kualitatif</w:t>
      </w:r>
    </w:p>
    <w:p w:rsidR="00293753" w:rsidRDefault="000821D4">
      <w:pPr>
        <w:pStyle w:val="Heading1"/>
        <w:spacing w:before="320" w:after="160"/>
      </w:pPr>
      <w:r>
        <w:rPr>
          <w:b/>
          <w:bCs/>
          <w:sz w:val="26"/>
          <w:szCs w:val="26"/>
        </w:rPr>
        <w:t>ABSTRACT</w:t>
      </w:r>
    </w:p>
    <w:p w:rsidR="00293753" w:rsidRDefault="000821D4">
      <w:pPr>
        <w:spacing w:after="200" w:line="360" w:lineRule="auto"/>
        <w:jc w:val="both"/>
      </w:pPr>
      <w:r>
        <w:t>Human capital is one of the most difficult components of intellectual capital to represent within conventional accounting systems, since generally accepted financial accounting frameworks require measurement reliability and certainty of resource control as preconditions for asset recognition</w:t>
      </w:r>
      <w:r w:rsidR="002511B9">
        <w:t xml:space="preserve">, </w:t>
      </w:r>
      <w:r>
        <w:t>two criteria that are inherently difficult for human beings, as a source of firm value, to satisfy. This article aims to explore how human capital is understood, treated, measured, and disclosed within accounting practice and discourse. This study employs a qualitative approach through library research using document analysis of human resource accounting and intellectual capital literature published in nationally and internationally indexed journals. The findings indicate three central issues in human capital accounting: recognition, measurement, and disclosure. In terms of recognition, prevailing financial accounting standards do not yet recognise human beings as capitalisable assets because firms lack exclusive control over their workforce. In terms of measurement, various models have been developed, ranging from cost-based approaches and economic value approaches to the Value Added Intellectual Coefficient (VAIC), which measures human capital efficiency indirectly through firm value added. In terms of disclosure, human capital reporting practices remain largely voluntary, inconsistent across firms, and dominated by narrative and qualitative rather than monetary information. This article concludes that human capital accounting remains at a conceptual developmental stage and requires a more standardised reporting framework so that information on human capital can become more relevant and comparable for users of financial statements.</w:t>
      </w:r>
    </w:p>
    <w:p w:rsidR="00293753" w:rsidRDefault="000821D4">
      <w:pPr>
        <w:spacing w:after="200" w:line="360" w:lineRule="auto"/>
        <w:jc w:val="both"/>
      </w:pPr>
      <w:r>
        <w:t xml:space="preserve">Keywords: </w:t>
      </w:r>
      <w:r w:rsidR="002511B9">
        <w:rPr>
          <w:i/>
          <w:iCs/>
        </w:rPr>
        <w:t>Human Capital; Human Resource Accounting; Intellectual Capital; Disclosure; Qualitative Research</w:t>
      </w:r>
    </w:p>
    <w:p w:rsidR="00293753" w:rsidRDefault="000821D4">
      <w:pPr>
        <w:pStyle w:val="Heading1"/>
        <w:spacing w:before="320" w:after="160"/>
      </w:pPr>
      <w:r>
        <w:rPr>
          <w:b/>
          <w:bCs/>
          <w:sz w:val="26"/>
          <w:szCs w:val="26"/>
        </w:rPr>
        <w:t>1. PENDAHULUAN</w:t>
      </w:r>
    </w:p>
    <w:p w:rsidR="00293753" w:rsidRDefault="000821D4">
      <w:pPr>
        <w:spacing w:after="200" w:line="360" w:lineRule="auto"/>
        <w:jc w:val="both"/>
      </w:pPr>
      <w:r>
        <w:t>Pergeseran perekonomian dari basis industri manufaktur menuju ekonomi berbasis pengetahuan (</w:t>
      </w:r>
      <w:r w:rsidRPr="00F7280D">
        <w:rPr>
          <w:i/>
        </w:rPr>
        <w:t>knowledge-based economy</w:t>
      </w:r>
      <w:r>
        <w:t xml:space="preserve">) telah mengubah komposisi sumber daya yang menciptakan nilai bagi perusahaan. Jika pada era industri nilai perusahaan sebagian besar bersumber dari aset berwujud seperti mesin, tanah, dan persediaan, maka pada era ekonomi pengetahuan nilai perusahaan semakin banyak ditentukan oleh aset tidak berwujud </w:t>
      </w:r>
      <w:r>
        <w:lastRenderedPageBreak/>
        <w:t>(</w:t>
      </w:r>
      <w:r w:rsidRPr="00F7280D">
        <w:rPr>
          <w:i/>
        </w:rPr>
        <w:t>intangible assets</w:t>
      </w:r>
      <w:r>
        <w:t xml:space="preserve">), khususnya pengetahuan, keterampilan, kompetensi, dan kreativitas manusia yang bekerja di dalamnya (Becker, 2009). Fenomena ini memunculkan konsep </w:t>
      </w:r>
      <w:r w:rsidRPr="00F7280D">
        <w:rPr>
          <w:i/>
        </w:rPr>
        <w:t>human capital</w:t>
      </w:r>
      <w:r>
        <w:t>, yaitu nilai ekonomis yang melekat pada kemampuan, pengalaman, dan pengetahuan tenaga kerja yang dapat menghasilkan manfaat ekonomis di masa depan bagi organisasi.</w:t>
      </w:r>
    </w:p>
    <w:p w:rsidR="00293753" w:rsidRDefault="000821D4">
      <w:pPr>
        <w:spacing w:after="200" w:line="360" w:lineRule="auto"/>
        <w:jc w:val="both"/>
      </w:pPr>
      <w:r>
        <w:t>Persoalannya, sistem akuntansi keuangan konvensional yang berlaku umum dibangun di atas prinsip kehati-hatian (</w:t>
      </w:r>
      <w:r w:rsidRPr="00F7280D">
        <w:rPr>
          <w:i/>
        </w:rPr>
        <w:t>prudence</w:t>
      </w:r>
      <w:r>
        <w:t>), keandalan pengukuran (</w:t>
      </w:r>
      <w:r w:rsidRPr="00F7280D">
        <w:rPr>
          <w:i/>
        </w:rPr>
        <w:t>measurement reliability</w:t>
      </w:r>
      <w:r>
        <w:t>), dan kepastian pengendalian sumber daya (</w:t>
      </w:r>
      <w:r w:rsidRPr="00F7280D">
        <w:rPr>
          <w:i/>
        </w:rPr>
        <w:t>control</w:t>
      </w:r>
      <w:r>
        <w:t>) sebagai syarat pengakuan aset. Manusia, betapapun besar kontribusi nilainya terhadap perusahaan, secara hukum tidak dapat “dimiliki” oleh perusahaan sebagaimana aset berwujud lainnya, sehingga standar akuntansi keuangan pada umumnya tidak mengizinkan biaya perekrutan, pelatihan, maupun pengembangan sumber daya manusia dikapitalisasi sebagai aset di neraca. Akibatnya, seluruh biaya terkait manusia diperlakukan sebagai beban periode berjalan, meskipun secara substansi ekonomi biaya tersebut menciptakan manfaat jangka panjang (Flamholtz &amp; Lacey, 1981; Darma, 2020).</w:t>
      </w:r>
    </w:p>
    <w:p w:rsidR="00293753" w:rsidRDefault="000821D4">
      <w:pPr>
        <w:spacing w:after="200" w:line="360" w:lineRule="auto"/>
        <w:jc w:val="both"/>
      </w:pPr>
      <w:r>
        <w:t xml:space="preserve">Ketimpangan antara substansi ekonomi </w:t>
      </w:r>
      <w:r w:rsidRPr="00E23980">
        <w:rPr>
          <w:i/>
        </w:rPr>
        <w:t>human capital</w:t>
      </w:r>
      <w:r>
        <w:t xml:space="preserve"> dan perlakuan akuntansinya inilah yang melahirkan bidang kajian akuntansi sumber daya manusia (</w:t>
      </w:r>
      <w:r w:rsidRPr="00E23980">
        <w:rPr>
          <w:i/>
        </w:rPr>
        <w:t>human resource accounting</w:t>
      </w:r>
      <w:r>
        <w:t>) sejak dekade 1960-an, yang kemudian berkembang lebih luas menjadi kajian modal intelektual (</w:t>
      </w:r>
      <w:r w:rsidRPr="00E23980">
        <w:rPr>
          <w:i/>
        </w:rPr>
        <w:t>intellectual capital</w:t>
      </w:r>
      <w:r>
        <w:t>) pada dekade 1990-an dan 2000-an (Bontis, 2001). Berbagai upaya telah dilakukan untuk menjembatani kesenjangan tersebut, baik melalui model pengukuran alternatif di luar laporan keuangan formal, maupun melalui pengungkapan sukarela dalam laporan tahunan, laporan keberlanjutan, maupun laporan modal intelektual (</w:t>
      </w:r>
      <w:r w:rsidRPr="00E23980">
        <w:rPr>
          <w:i/>
        </w:rPr>
        <w:t>intellectual capital statement</w:t>
      </w:r>
      <w:r>
        <w:t>).</w:t>
      </w:r>
    </w:p>
    <w:p w:rsidR="00293753" w:rsidRDefault="000821D4">
      <w:pPr>
        <w:spacing w:after="200" w:line="360" w:lineRule="auto"/>
        <w:jc w:val="both"/>
      </w:pPr>
      <w:r>
        <w:t xml:space="preserve">Berdasarkan uraian di atas, artikel ini disusun untuk menjawab tiga pertanyaan penelitian: (1) bagaimana </w:t>
      </w:r>
      <w:r w:rsidRPr="004439E5">
        <w:rPr>
          <w:i/>
        </w:rPr>
        <w:t>human capital</w:t>
      </w:r>
      <w:r>
        <w:t xml:space="preserve"> dipahami dan diposisikan dalam kerangka konseptual akuntansi; (2) bagaimana perkembangan model pengukuran </w:t>
      </w:r>
      <w:r w:rsidRPr="004439E5">
        <w:rPr>
          <w:i/>
        </w:rPr>
        <w:t>human capital</w:t>
      </w:r>
      <w:r>
        <w:t xml:space="preserve"> dalam literatur akuntansi; dan (3) bagaimana praktik pengungkapan </w:t>
      </w:r>
      <w:r w:rsidRPr="004439E5">
        <w:rPr>
          <w:i/>
        </w:rPr>
        <w:t>human capital</w:t>
      </w:r>
      <w:r>
        <w:t xml:space="preserve"> dilakukan oleh perusahaan beserta kendala yang menyertainya. Kajian ini penting dilakukan karena informasi mengenai </w:t>
      </w:r>
      <w:r w:rsidRPr="009630FE">
        <w:rPr>
          <w:i/>
        </w:rPr>
        <w:t>human capital</w:t>
      </w:r>
      <w:r>
        <w:t xml:space="preserve"> semakin dibutuhkan oleh investor dan pemangku kepentingan lain untuk menilai kemampuan perusahaan menciptakan nilai jangka panjang, sementara kerangka pelaporan yang tersedia saat ini masih belum memadai untuk mengakomodasi kebutuhan tersebut (Duff, 2018; Samudhram et al., 2010).</w:t>
      </w:r>
    </w:p>
    <w:p w:rsidR="00293753" w:rsidRDefault="000821D4">
      <w:pPr>
        <w:pStyle w:val="Heading1"/>
        <w:spacing w:before="320" w:after="160"/>
      </w:pPr>
      <w:r>
        <w:rPr>
          <w:b/>
          <w:bCs/>
          <w:sz w:val="26"/>
          <w:szCs w:val="26"/>
        </w:rPr>
        <w:lastRenderedPageBreak/>
        <w:t>2. TINJAUAN PUSTAKA</w:t>
      </w:r>
    </w:p>
    <w:p w:rsidR="00293753" w:rsidRPr="00D154AF" w:rsidRDefault="000821D4">
      <w:pPr>
        <w:pStyle w:val="Heading2"/>
        <w:spacing w:before="320" w:after="160"/>
        <w:rPr>
          <w:i/>
        </w:rPr>
      </w:pPr>
      <w:r>
        <w:rPr>
          <w:b/>
          <w:bCs/>
          <w:sz w:val="24"/>
          <w:szCs w:val="24"/>
        </w:rPr>
        <w:t xml:space="preserve">2.1 Konsep </w:t>
      </w:r>
      <w:r w:rsidRPr="00D154AF">
        <w:rPr>
          <w:b/>
          <w:bCs/>
          <w:i/>
          <w:sz w:val="24"/>
          <w:szCs w:val="24"/>
        </w:rPr>
        <w:t>Human Capital</w:t>
      </w:r>
    </w:p>
    <w:p w:rsidR="00293753" w:rsidRDefault="000821D4">
      <w:pPr>
        <w:spacing w:after="200" w:line="360" w:lineRule="auto"/>
        <w:jc w:val="both"/>
      </w:pPr>
      <w:r>
        <w:t xml:space="preserve">Konsep </w:t>
      </w:r>
      <w:r w:rsidRPr="00D154AF">
        <w:rPr>
          <w:i/>
        </w:rPr>
        <w:t>human capital</w:t>
      </w:r>
      <w:r>
        <w:t xml:space="preserve"> pertama kali dipopulerkan melalui teori </w:t>
      </w:r>
      <w:r w:rsidRPr="00D154AF">
        <w:rPr>
          <w:i/>
        </w:rPr>
        <w:t>human capital</w:t>
      </w:r>
      <w:r>
        <w:t xml:space="preserve"> yang dikembangkan dalam ilmu ekonomi, yang memandang pendidikan, pelatihan, dan pengalaman kerja sebagai bentuk investasi yang meningkatkan produktivitas dan penghasilan seseorang di masa depan (Becker, 2009). Dalam perspektif ini, pengeluaran untuk pendidikan dan pelatihan tidak dipandang semata sebagai konsumsi, melainkan sebagai investasi yang menghasilkan return di masa mendatang, baik bagi individu maupun bagi organisasi yang mempekerjakannya. Prinsip inilah yang kemudian diadopsi ke dalam disiplin akuntansi dan manajemen sumber daya manusia.</w:t>
      </w:r>
    </w:p>
    <w:p w:rsidR="00293753" w:rsidRDefault="000821D4">
      <w:pPr>
        <w:spacing w:after="200" w:line="360" w:lineRule="auto"/>
        <w:jc w:val="both"/>
      </w:pPr>
      <w:r>
        <w:t xml:space="preserve">Dalam konteks organisasi, </w:t>
      </w:r>
      <w:r w:rsidRPr="00D154AF">
        <w:rPr>
          <w:i/>
        </w:rPr>
        <w:t>human capital</w:t>
      </w:r>
      <w:r>
        <w:t xml:space="preserve"> didefinisikan sebagai kombinasi pengetahuan, keterampilan, kemampuan inovatif, dan kapasitas individu karyawan untuk menyelesaikan tugas, termasuk nilai, budaya, dan filosofi perusahaan yang melekat pada sumber dayanya (Bontis, 2001). </w:t>
      </w:r>
      <w:r w:rsidRPr="00D154AF">
        <w:rPr>
          <w:i/>
        </w:rPr>
        <w:t>Human capital</w:t>
      </w:r>
      <w:r>
        <w:t xml:space="preserve"> merupakan salah satu dari tiga komponen utama modal intelektual, di samping </w:t>
      </w:r>
      <w:r w:rsidRPr="00D154AF">
        <w:rPr>
          <w:i/>
        </w:rPr>
        <w:t>structural capital</w:t>
      </w:r>
      <w:r>
        <w:t xml:space="preserve"> (infrastruktur organisasi, sistem, dan basis data) dan relational capital atau customer capital (hubungan dengan pelanggan dan mitra eksternal). Di antara ketiganya, </w:t>
      </w:r>
      <w:r w:rsidRPr="00D154AF">
        <w:rPr>
          <w:i/>
        </w:rPr>
        <w:t>human capital</w:t>
      </w:r>
      <w:r>
        <w:t xml:space="preserve"> dianggap sebagai komponen yang paling fundamental karena structural capital dan relational capital pada dasarnya merupakan hasil ciptaan dari human capital itu sendiri.</w:t>
      </w:r>
    </w:p>
    <w:p w:rsidR="00293753" w:rsidRDefault="000821D4">
      <w:pPr>
        <w:spacing w:after="200" w:line="360" w:lineRule="auto"/>
        <w:jc w:val="both"/>
      </w:pPr>
      <w:r>
        <w:t xml:space="preserve">Perkembangan lebih lanjut memperlihatkan bahwa </w:t>
      </w:r>
      <w:r w:rsidRPr="00D154AF">
        <w:rPr>
          <w:i/>
        </w:rPr>
        <w:t>human capital</w:t>
      </w:r>
      <w:r>
        <w:t xml:space="preserve"> tidak semata dipahami sebagai atribut individu yang berdiri sendiri, melainkan sebagai sumber daya yang muncul (</w:t>
      </w:r>
      <w:r w:rsidRPr="00D154AF">
        <w:rPr>
          <w:i/>
        </w:rPr>
        <w:t>emerge)</w:t>
      </w:r>
      <w:r>
        <w:t xml:space="preserve"> melalui proses multilevel yang menghubungkan pengetahuan, kemampuan, dan karakteristik individu dengan kapasitas kolektif unit organisasi. Ployhart dan Moliterno (2011) menegaskan bahwa </w:t>
      </w:r>
      <w:r w:rsidRPr="00D154AF">
        <w:rPr>
          <w:i/>
        </w:rPr>
        <w:t>human capital</w:t>
      </w:r>
      <w:r>
        <w:t xml:space="preserve"> sebagai sumber daya unit organisasi tercipta dari proses emergensi atribut psikologis individu yang ditransformasikan melalui proses-proses di tingkat unit kerja, sehingga nilai human capital bagi organisasi tidak dapat dipahami hanya dari akumulasi atribut individu semata, tetapi juga dari bagaimana atribut tersebut berinteraksi dan dikelola dalam konteks kolektif.</w:t>
      </w:r>
    </w:p>
    <w:p w:rsidR="00293753" w:rsidRDefault="000821D4">
      <w:pPr>
        <w:pStyle w:val="Heading2"/>
        <w:spacing w:before="320" w:after="160"/>
      </w:pPr>
      <w:r>
        <w:rPr>
          <w:b/>
          <w:bCs/>
          <w:sz w:val="24"/>
          <w:szCs w:val="24"/>
        </w:rPr>
        <w:t>2.2 Akuntansi Sumber Daya Manusia (</w:t>
      </w:r>
      <w:r w:rsidRPr="00D154AF">
        <w:rPr>
          <w:b/>
          <w:bCs/>
          <w:i/>
          <w:sz w:val="24"/>
          <w:szCs w:val="24"/>
        </w:rPr>
        <w:t>Human Resource Accounting</w:t>
      </w:r>
      <w:r>
        <w:rPr>
          <w:b/>
          <w:bCs/>
          <w:sz w:val="24"/>
          <w:szCs w:val="24"/>
        </w:rPr>
        <w:t>)</w:t>
      </w:r>
    </w:p>
    <w:p w:rsidR="00293753" w:rsidRDefault="000821D4">
      <w:pPr>
        <w:spacing w:after="200" w:line="360" w:lineRule="auto"/>
        <w:jc w:val="both"/>
      </w:pPr>
      <w:r>
        <w:t>Akuntansi sumber daya manusia merupakan proses identifikasi dan pengukuran data mengenai sumber daya manusia serta pengomunikasian informasi tersebut kepada pihak-</w:t>
      </w:r>
      <w:r>
        <w:lastRenderedPageBreak/>
        <w:t>pihak yang berkepentingan (Flamholtz &amp; Lacey, 1981). Terdapat dua pendekatan besar dalam akuntansi sumber daya manusia, yaitu pendekatan biaya (</w:t>
      </w:r>
      <w:r w:rsidRPr="00D154AF">
        <w:rPr>
          <w:i/>
        </w:rPr>
        <w:t>cost approach</w:t>
      </w:r>
      <w:r>
        <w:t xml:space="preserve">), yang mengukur </w:t>
      </w:r>
      <w:r w:rsidRPr="00D154AF">
        <w:rPr>
          <w:i/>
        </w:rPr>
        <w:t>human capital</w:t>
      </w:r>
      <w:r>
        <w:t xml:space="preserve"> berdasarkan biaya historis perekrutan, pelatihan, dan pengembangan karyawan, serta pendekatan nilai ekonomis (</w:t>
      </w:r>
      <w:r w:rsidRPr="00B24A61">
        <w:rPr>
          <w:i/>
        </w:rPr>
        <w:t>economic value approach</w:t>
      </w:r>
      <w:r>
        <w:t xml:space="preserve">), yang mengukur </w:t>
      </w:r>
      <w:r w:rsidRPr="00E15F17">
        <w:rPr>
          <w:i/>
        </w:rPr>
        <w:t>human capital</w:t>
      </w:r>
      <w:r>
        <w:t xml:space="preserve"> berdasarkan estimasi kontribusi nilai ekonomis yang dihasilkan karyawan bagi perusahaan di masa depan.</w:t>
      </w:r>
    </w:p>
    <w:p w:rsidR="00293753" w:rsidRDefault="000821D4">
      <w:pPr>
        <w:spacing w:after="200" w:line="360" w:lineRule="auto"/>
        <w:jc w:val="both"/>
      </w:pPr>
      <w:r>
        <w:t>Kajian di Indonesia menunjukkan bahwa perlakuan akuntansi atas sumber daya manusia pada praktiknya masih beragam dan belum seragam antarperusahaan. Sebagian entitas memperlakukan biaya sumber daya manusia sebagai investasi jangka panjang yang diamortisasi selama periode tertentu, sementara sebagian besar entitas lainnya tetap membebankan seluruh biaya tersebut pada periode terjadinya sebagai beban operasional biasa (Darma, 2020). Kondisi ini terjadi karena standar akuntansi keuangan yang berlaku umum, termasuk kerangka konseptual pelaporan keuangan, mensyaratkan bahwa suatu pos dapat diakui sebagai aset apabila entitas memiliki kendali atas sumber daya tersebut dan manfaat ekonominya dapat diukur dengan andal</w:t>
      </w:r>
      <w:r w:rsidR="00E15F17">
        <w:t xml:space="preserve">, </w:t>
      </w:r>
      <w:r>
        <w:t>dua kriteria yang secara struktural sulit dipenuhi oleh manusia, mengingat karyawan senantiasa memiliki kebebasan untuk mengundurkan diri dan tidak dapat “dimiliki” oleh perusahaan sebagaimana aset lainnya.</w:t>
      </w:r>
    </w:p>
    <w:p w:rsidR="00293753" w:rsidRDefault="000821D4">
      <w:pPr>
        <w:spacing w:after="200" w:line="360" w:lineRule="auto"/>
        <w:jc w:val="both"/>
      </w:pPr>
      <w:r>
        <w:t xml:space="preserve">Upaya mengukur nilai sumber daya manusia secara lebih sistematis juga dikembangkan melalui berbagai pendekatan baru yang mencoba menjembatani keterbatasan model akuntansi konvensional. Bavali dan Jokar (2014) mengusulkan pendekatan pengukuran akuntansi sumber daya manusia yang menggabungkan unsur biaya historis dengan estimasi produktivitas karyawan, sebagai upaya untuk menghasilkan angka yang lebih relevan secara manajerial dibandingkan sekadar akumulasi biaya perolehan. Pada sisi lain, kajian pada tataran praktik profesi menunjukkan bahwa kualitas human capital berkontribusi nyata terhadap kinerja individu di lingkungan kerja akuntansi; Supriatna (2014) menemukan bahwa dimensi </w:t>
      </w:r>
      <w:r w:rsidRPr="00E15F17">
        <w:rPr>
          <w:i/>
        </w:rPr>
        <w:t>human capital</w:t>
      </w:r>
      <w:r w:rsidR="00E15F17">
        <w:rPr>
          <w:i/>
        </w:rPr>
        <w:t xml:space="preserve">, </w:t>
      </w:r>
      <w:r>
        <w:t>meliputi kapabilitas individu, motivasi, kepemimpinan, iklim organisasi, dan efektivitas kerja tim</w:t>
      </w:r>
      <w:r w:rsidR="00E15F17">
        <w:t xml:space="preserve">, </w:t>
      </w:r>
      <w:r>
        <w:t>berpengaruh terhadap kinerja auditor pada kantor akuntan publik, yang mengonfirmasi relevansi human capital sebagai faktor penentu kinerja meskipun belum terakomodasi dalam laporan keuangan formal.</w:t>
      </w:r>
    </w:p>
    <w:p w:rsidR="00293753" w:rsidRDefault="000821D4">
      <w:pPr>
        <w:pStyle w:val="Heading2"/>
        <w:spacing w:before="320" w:after="160"/>
      </w:pPr>
      <w:r>
        <w:rPr>
          <w:b/>
          <w:bCs/>
          <w:sz w:val="24"/>
          <w:szCs w:val="24"/>
        </w:rPr>
        <w:t xml:space="preserve">2.3 Modal Intelektual dan Pengungkapan </w:t>
      </w:r>
      <w:r w:rsidRPr="00E15F17">
        <w:rPr>
          <w:b/>
          <w:bCs/>
          <w:i/>
          <w:sz w:val="24"/>
          <w:szCs w:val="24"/>
        </w:rPr>
        <w:t>Human Capital</w:t>
      </w:r>
    </w:p>
    <w:p w:rsidR="00293753" w:rsidRDefault="000821D4">
      <w:pPr>
        <w:spacing w:after="200" w:line="360" w:lineRule="auto"/>
        <w:jc w:val="both"/>
      </w:pPr>
      <w:r>
        <w:t xml:space="preserve">Ketika pengakuan </w:t>
      </w:r>
      <w:r w:rsidRPr="00E15F17">
        <w:rPr>
          <w:i/>
        </w:rPr>
        <w:t>human capital</w:t>
      </w:r>
      <w:r>
        <w:t xml:space="preserve"> sebagai aset dalam neraca menghadapi kendala konseptual, wacana akuntansi bergeser ke arah pengungkapan (</w:t>
      </w:r>
      <w:r w:rsidRPr="00E15F17">
        <w:rPr>
          <w:i/>
        </w:rPr>
        <w:t>disclosure</w:t>
      </w:r>
      <w:r>
        <w:t xml:space="preserve">) sebagai jalan tengah untuk </w:t>
      </w:r>
      <w:r>
        <w:lastRenderedPageBreak/>
        <w:t xml:space="preserve">menyampaikan informasi mengenai </w:t>
      </w:r>
      <w:r w:rsidRPr="00E15F17">
        <w:rPr>
          <w:i/>
        </w:rPr>
        <w:t>human capital</w:t>
      </w:r>
      <w:r>
        <w:t xml:space="preserve"> kepada pengguna laporan. </w:t>
      </w:r>
      <w:r w:rsidRPr="00E15F17">
        <w:rPr>
          <w:i/>
        </w:rPr>
        <w:t>Human capital</w:t>
      </w:r>
      <w:r>
        <w:t xml:space="preserve"> merupakan kategori pengungkapan modal intelektual yang paling sering dilaporkan oleh perusahaan, khususnya perusahaan jasa profesional (Duff, 2018), namun tingkat dan kualitasnya bervariasi dan dipengaruhi oleh struktur kepemilikan serta tata kelola korporasi (Bontis, 2003; Firer &amp; Williams, 2005). Kajian teoritis mengenai ketiadaan pengungkapan (non-disclosure) </w:t>
      </w:r>
      <w:r w:rsidRPr="00E15F17">
        <w:rPr>
          <w:i/>
        </w:rPr>
        <w:t>human capital</w:t>
      </w:r>
      <w:r>
        <w:t xml:space="preserve"> mengidentifikasi sejumlah faktor penghambat, antara lain kekhawatiran hilangnya keunggulan kompetitif, ketiadaan standar pengukuran yang seragam, dan rendahnya insentif regulasi (Samudhram et al., 2010).</w:t>
      </w:r>
    </w:p>
    <w:p w:rsidR="00293753" w:rsidRDefault="000821D4">
      <w:pPr>
        <w:spacing w:after="200" w:line="360" w:lineRule="auto"/>
        <w:jc w:val="both"/>
      </w:pPr>
      <w:r>
        <w:t xml:space="preserve">Beattie dan Smith (2010) menegaskan bahwa </w:t>
      </w:r>
      <w:r w:rsidRPr="00845F0A">
        <w:rPr>
          <w:i/>
        </w:rPr>
        <w:t>human capital</w:t>
      </w:r>
      <w:r>
        <w:t xml:space="preserve"> merupakan sumber daya kunci penciptaan nilai perusahaan, namun keterkaitannya jarang diartikulasikan secara eksplisit dalam laporan tahunan. Sementara itu, motivasi pengungkapan </w:t>
      </w:r>
      <w:r w:rsidRPr="00E77F58">
        <w:rPr>
          <w:i/>
        </w:rPr>
        <w:t>human capital</w:t>
      </w:r>
      <w:r>
        <w:t xml:space="preserve"> ditemukan lebih banyak didorong oleh kepentingan legitimasi dan citra perusahaan sebagai pemberi kerja (</w:t>
      </w:r>
      <w:r w:rsidRPr="00E77F58">
        <w:rPr>
          <w:i/>
        </w:rPr>
        <w:t>employer branding</w:t>
      </w:r>
      <w:r>
        <w:t>) dibandingkan kebutuhan akuntabilitas substantif kepada investor (Saad &amp; Hassan, 2013), dan manajer sumber daya manusia pada umumnya mengakui belum tersedianya model penilaian dan pelaporan human capital yang baku (Adelowotan, 2021). Rincian mengenai pola-pola pengungkapan ini dielaborasi lebih lanjut pada bagian Hasil dan Pembahasan.</w:t>
      </w:r>
    </w:p>
    <w:p w:rsidR="00293753" w:rsidRDefault="000821D4">
      <w:pPr>
        <w:pStyle w:val="Heading2"/>
        <w:spacing w:before="320" w:after="160"/>
      </w:pPr>
      <w:r>
        <w:rPr>
          <w:b/>
          <w:bCs/>
          <w:sz w:val="24"/>
          <w:szCs w:val="24"/>
        </w:rPr>
        <w:t xml:space="preserve">2.4 Model Pengukuran </w:t>
      </w:r>
      <w:r w:rsidRPr="00FA7264">
        <w:rPr>
          <w:b/>
          <w:bCs/>
          <w:i/>
          <w:sz w:val="24"/>
          <w:szCs w:val="24"/>
        </w:rPr>
        <w:t>Human Capital</w:t>
      </w:r>
    </w:p>
    <w:p w:rsidR="00293753" w:rsidRDefault="000821D4">
      <w:pPr>
        <w:spacing w:after="200" w:line="360" w:lineRule="auto"/>
        <w:jc w:val="both"/>
      </w:pPr>
      <w:r>
        <w:t xml:space="preserve">Berbagai model pengukuran modal intelektual telah dikembangkan sejak akhir dekade 1990-an. Luthy (1998) mengklasifikasikan pendekatan pengukuran ke dalam beberapa kategori besar, meliputi metode kapitalisasi pasar, metode pengembalian atas aset, dan metode penilaian langsung. Model pelopor yang paling berpengaruh adalah Skandia Navigator (Edvinsson &amp; Malone, 1997), yang menempatkan </w:t>
      </w:r>
      <w:r w:rsidRPr="00FA7264">
        <w:rPr>
          <w:i/>
        </w:rPr>
        <w:t>human capital</w:t>
      </w:r>
      <w:r>
        <w:t xml:space="preserve"> dan </w:t>
      </w:r>
      <w:r w:rsidRPr="00FA7264">
        <w:rPr>
          <w:i/>
        </w:rPr>
        <w:t>structural capital</w:t>
      </w:r>
      <w:r>
        <w:t xml:space="preserve"> sebagai dua komponen utama modal intelektual, serta </w:t>
      </w:r>
      <w:r w:rsidRPr="00FA7264">
        <w:rPr>
          <w:i/>
        </w:rPr>
        <w:t>Intangible Assets Monitor</w:t>
      </w:r>
      <w:r>
        <w:t xml:space="preserve"> (Sveiby, 1997), yang mengelompokkan aset tidak berwujud ke dalam kompetensi karyawan, struktur internal, dan struktur eksternal. Di antara model-model tersebut, </w:t>
      </w:r>
      <w:r w:rsidRPr="00FA7264">
        <w:rPr>
          <w:i/>
        </w:rPr>
        <w:t>Value Added Intellectual Coefficient</w:t>
      </w:r>
      <w:r>
        <w:t xml:space="preserve"> (VAIC) yang diperkenalkan Pulic (2004) merupakan model yang paling banyak digunakan dalam penelitian akuntansi karena kesederhanaannya dan basis datanya yang bersumber langsung dari laporan keuangan teraudit.</w:t>
      </w:r>
    </w:p>
    <w:p w:rsidR="00293753" w:rsidRDefault="000821D4">
      <w:pPr>
        <w:spacing w:after="200" w:line="360" w:lineRule="auto"/>
        <w:jc w:val="both"/>
      </w:pPr>
      <w:r>
        <w:t xml:space="preserve">Selain model-model pengukuran kuantitatif tersebut, sebagian peneliti mengembangkan pengukuran </w:t>
      </w:r>
      <w:r w:rsidRPr="006B6C0D">
        <w:rPr>
          <w:i/>
        </w:rPr>
        <w:t>human capital</w:t>
      </w:r>
      <w:r>
        <w:t xml:space="preserve"> melalui pendekatan analisis isi (</w:t>
      </w:r>
      <w:r w:rsidRPr="004D5ABB">
        <w:rPr>
          <w:i/>
        </w:rPr>
        <w:t>content analysis</w:t>
      </w:r>
      <w:r>
        <w:t xml:space="preserve">) terhadap dokumen pelaporan perusahaan, sebagaimana dipelopori oleh Guthrie dan Petty (2000) dan </w:t>
      </w:r>
      <w:r>
        <w:lastRenderedPageBreak/>
        <w:t>disempurnakan metodologinya oleh Guthrie, Petty, Yongvanich, dan Ricceri (2004). Kajian literatur sistematis terbaru menegaskan bahwa hingga saat ini belum ada satu model pengukuran yang secara tunggal mendominasi, melainkan berbagai kerangka digunakan secara saling melengkapi sesuai konteks dan tujuan penelitian atau pelaporan (Prasetia &amp; Maisarah, 2025). Perbandingan lebih rinci antarmodel disajikan pada bagian Hasil dan Pembahasan.</w:t>
      </w:r>
    </w:p>
    <w:p w:rsidR="00293753" w:rsidRDefault="000821D4">
      <w:pPr>
        <w:pStyle w:val="Heading2"/>
        <w:spacing w:before="320" w:after="160"/>
      </w:pPr>
      <w:r>
        <w:rPr>
          <w:b/>
          <w:bCs/>
          <w:sz w:val="24"/>
          <w:szCs w:val="24"/>
        </w:rPr>
        <w:t xml:space="preserve">2.5 </w:t>
      </w:r>
      <w:r w:rsidRPr="00300F05">
        <w:rPr>
          <w:b/>
          <w:bCs/>
          <w:i/>
          <w:sz w:val="24"/>
          <w:szCs w:val="24"/>
        </w:rPr>
        <w:t>Human Capital</w:t>
      </w:r>
      <w:r>
        <w:rPr>
          <w:b/>
          <w:bCs/>
          <w:sz w:val="24"/>
          <w:szCs w:val="24"/>
        </w:rPr>
        <w:t xml:space="preserve"> dan Nilai Etika Religius</w:t>
      </w:r>
    </w:p>
    <w:p w:rsidR="00293753" w:rsidRDefault="000821D4">
      <w:pPr>
        <w:spacing w:after="200" w:line="360" w:lineRule="auto"/>
        <w:jc w:val="both"/>
      </w:pPr>
      <w:r>
        <w:t xml:space="preserve">Selain kajian yang bersifat teknis-kuantitatif sebagaimana diuraikan di atas, literatur akuntansi dan pendidikan tinggi juga mulai menyoroti dimensi non-teknis dari </w:t>
      </w:r>
      <w:r w:rsidRPr="00A63B63">
        <w:rPr>
          <w:i/>
        </w:rPr>
        <w:t>human capital</w:t>
      </w:r>
      <w:r>
        <w:t xml:space="preserve">, yaitu nilai-nilai etika dan spiritualitas yang membentuk karakter individu sebagai pemilik modal manusia. Pasanda (2025) menegaskan bahwa di tengah tantangan dunia pendidikan tinggi untuk mencetak generasi unggul, nilai-nilai etika religius seperti kejujuran, ketulusan, dan tanggung jawab bukanlah sekadar pelengkap, melainkan fondasi penting dalam mengembangkan </w:t>
      </w:r>
      <w:r w:rsidRPr="00A63B63">
        <w:rPr>
          <w:i/>
        </w:rPr>
        <w:t>human capital</w:t>
      </w:r>
      <w:r>
        <w:t xml:space="preserve"> atau potensi manusia secara utuh. Pandangan ini menegaskan bahwa keunggulan </w:t>
      </w:r>
      <w:r w:rsidRPr="00A63B63">
        <w:rPr>
          <w:i/>
        </w:rPr>
        <w:t>human capital</w:t>
      </w:r>
      <w:r>
        <w:t xml:space="preserve"> tidak dapat direduksi semata pada dimensi kompetensi teknis dan intelektual, melainkan juga mencakup dimensi karakter dan moral yang bersumber dari nilai-nilai keagamaan (Pasanda, 2025).</w:t>
      </w:r>
    </w:p>
    <w:p w:rsidR="00293753" w:rsidRDefault="000821D4">
      <w:pPr>
        <w:spacing w:after="200" w:line="360" w:lineRule="auto"/>
        <w:jc w:val="both"/>
      </w:pPr>
      <w:r>
        <w:t xml:space="preserve">Perspektif ini relevan bagi akademisi akuntansi, mengingat profesi akuntansi menuntut integritas dan kepercayaan publik yang tinggi. Sinergi antara etika religius dan </w:t>
      </w:r>
      <w:r w:rsidRPr="00A63B63">
        <w:rPr>
          <w:i/>
        </w:rPr>
        <w:t>human capital</w:t>
      </w:r>
      <w:r>
        <w:t xml:space="preserve"> mengindikasikan bahwa penguatan kapasitas intelektual semata tidak cukup untuk membentuk sumber daya manusia yang unggul dan berintegritas dalam ranah akademik maupun profesional, sehingga pengembangan </w:t>
      </w:r>
      <w:r w:rsidRPr="00A63B63">
        <w:rPr>
          <w:i/>
        </w:rPr>
        <w:t>human capital</w:t>
      </w:r>
      <w:r>
        <w:t xml:space="preserve"> </w:t>
      </w:r>
      <w:r w:rsidR="00A63B63">
        <w:t xml:space="preserve">di lingkungan pendidikan tinggi, </w:t>
      </w:r>
      <w:r>
        <w:t>termasuk program studi akuntansi</w:t>
      </w:r>
      <w:r w:rsidR="00A63B63">
        <w:t xml:space="preserve">, </w:t>
      </w:r>
      <w:r>
        <w:t xml:space="preserve">perlu diselenggarakan secara simultan dengan penguatan karakter dan nilai moral yang berlandaskan keyakinan religius (Pasanda, 2025). Pandangan ini memperluas cakupan akuntansi </w:t>
      </w:r>
      <w:r w:rsidRPr="00A63B63">
        <w:rPr>
          <w:i/>
        </w:rPr>
        <w:t>human capital</w:t>
      </w:r>
      <w:r>
        <w:t>, dari sekadar isu pengakuan, pengukuran, dan pengungkapan yang bersifat teknis, menuju pertanyaan yang lebih mendasar mengenai kualitas moral dan spiritual dari sumber daya manusia yang menjadi objek pengukuran tersebut.</w:t>
      </w:r>
    </w:p>
    <w:p w:rsidR="00293753" w:rsidRDefault="000821D4">
      <w:pPr>
        <w:pStyle w:val="Heading2"/>
        <w:spacing w:before="320" w:after="160"/>
      </w:pPr>
      <w:r>
        <w:rPr>
          <w:b/>
          <w:bCs/>
          <w:sz w:val="24"/>
          <w:szCs w:val="24"/>
        </w:rPr>
        <w:t xml:space="preserve">2.6 </w:t>
      </w:r>
      <w:r w:rsidRPr="00ED032F">
        <w:rPr>
          <w:b/>
          <w:bCs/>
          <w:i/>
          <w:sz w:val="24"/>
          <w:szCs w:val="24"/>
        </w:rPr>
        <w:t>Human Capital</w:t>
      </w:r>
      <w:r>
        <w:rPr>
          <w:b/>
          <w:bCs/>
          <w:sz w:val="24"/>
          <w:szCs w:val="24"/>
        </w:rPr>
        <w:t xml:space="preserve"> di Kalangan Akademisi Akuntansi</w:t>
      </w:r>
    </w:p>
    <w:p w:rsidR="00293753" w:rsidRDefault="000821D4">
      <w:pPr>
        <w:spacing w:after="200" w:line="360" w:lineRule="auto"/>
        <w:jc w:val="both"/>
      </w:pPr>
      <w:r>
        <w:t xml:space="preserve">Selain diterapkan pada konteks korporasi, konsep human capital juga relevan dikaji pada konteks institusi pendidikan tinggi, khususnya pada diri dosen sebagai pemegang utama </w:t>
      </w:r>
      <w:r>
        <w:lastRenderedPageBreak/>
        <w:t xml:space="preserve">modal intelektual perguruan tinggi. Rudiyanto dan Sutisna (2022) meneliti pengaruh academics </w:t>
      </w:r>
      <w:r w:rsidRPr="00ED032F">
        <w:rPr>
          <w:i/>
        </w:rPr>
        <w:t>human capital</w:t>
      </w:r>
      <w:r w:rsidR="00ED032F">
        <w:rPr>
          <w:i/>
        </w:rPr>
        <w:t xml:space="preserve"> </w:t>
      </w:r>
      <w:r>
        <w:t>yang meliputi dimensi pengetahuan (</w:t>
      </w:r>
      <w:r w:rsidRPr="00ED032F">
        <w:rPr>
          <w:i/>
        </w:rPr>
        <w:t>knowledge</w:t>
      </w:r>
      <w:r>
        <w:t>), keterampilan (</w:t>
      </w:r>
      <w:r w:rsidRPr="00ED032F">
        <w:rPr>
          <w:i/>
        </w:rPr>
        <w:t>competency</w:t>
      </w:r>
      <w:r>
        <w:t>), kapasitas dinamis (</w:t>
      </w:r>
      <w:r w:rsidRPr="00ED032F">
        <w:rPr>
          <w:i/>
        </w:rPr>
        <w:t>dynamic capacity</w:t>
      </w:r>
      <w:r>
        <w:t>), kapasitas kerja (</w:t>
      </w:r>
      <w:r w:rsidRPr="00ED032F">
        <w:rPr>
          <w:i/>
        </w:rPr>
        <w:t>working capacity</w:t>
      </w:r>
      <w:r>
        <w:t>), dan kapasitas kritis (</w:t>
      </w:r>
      <w:r w:rsidRPr="00ED032F">
        <w:rPr>
          <w:i/>
        </w:rPr>
        <w:t>critic capacity</w:t>
      </w:r>
      <w:r>
        <w:t>)</w:t>
      </w:r>
      <w:r w:rsidR="00ED032F">
        <w:t xml:space="preserve"> </w:t>
      </w:r>
      <w:r>
        <w:t xml:space="preserve">terhadap kinerja dosen akuntansi pada perguruan tinggi di Provinsi Banten, dan menemukan bahwa academics </w:t>
      </w:r>
      <w:r w:rsidRPr="00ED032F">
        <w:rPr>
          <w:i/>
        </w:rPr>
        <w:t>human capital</w:t>
      </w:r>
      <w:r>
        <w:t xml:space="preserve"> memberikan kontribusi yang besar terhadap kinerja dosen, dengan dimensi kapasitas kritis memberikan kontribusi terbesar dibandingkan dimensi lainnya. Temuan ini menegaskan bahwa </w:t>
      </w:r>
      <w:r w:rsidRPr="00ED032F">
        <w:rPr>
          <w:i/>
        </w:rPr>
        <w:t>human capital</w:t>
      </w:r>
      <w:r>
        <w:t xml:space="preserve"> dosen akuntansi tidak hanya ditentukan oleh penguasaan pengetahuan teknis semata, tetapi juga oleh kapasitas berpikir kritis dan kemampuan adaptif dalam menjalankan tridarma perguruan tinggi.</w:t>
      </w:r>
    </w:p>
    <w:p w:rsidR="00293753" w:rsidRDefault="000821D4">
      <w:pPr>
        <w:spacing w:after="200" w:line="360" w:lineRule="auto"/>
        <w:jc w:val="both"/>
      </w:pPr>
      <w:r>
        <w:t xml:space="preserve">Sejalan dengan temuan tersebut, Trisnaningsih (2011) mengidentifikasi bahwa kinerja dosen akuntansi dipengaruhi oleh komitmen organisasional, komitmen profesional, dan motivasi kerja, yang pada dasarnya merupakan bagian dari dimensi non-kognitif </w:t>
      </w:r>
      <w:r w:rsidRPr="00ED032F">
        <w:rPr>
          <w:i/>
        </w:rPr>
        <w:t>human capital</w:t>
      </w:r>
      <w:r>
        <w:t xml:space="preserve"> yang turut menentukan produktivitas akademik. Kajian lain oleh Permana, Yuniarsih, Ahman, Wibowo, dan Wiyono (2022) menunjukkan bahwa pengembangan </w:t>
      </w:r>
      <w:r w:rsidRPr="00ED032F">
        <w:rPr>
          <w:i/>
        </w:rPr>
        <w:t>human capital</w:t>
      </w:r>
      <w:r>
        <w:t xml:space="preserve"> melalui pelatihan dan penguatan modal intelektual dosen berkontribusi terhadap perbaikan perilaku kerja dan kinerja tridarma dosen, mencakup aspek pendidikan dan pengajaran, penelitian dan publikasi ilmiah, serta pengabdian kepada masyarakat. Ketiga kajian ini secara konsisten menegaskan bahwa </w:t>
      </w:r>
      <w:r w:rsidRPr="00ED032F">
        <w:rPr>
          <w:i/>
        </w:rPr>
        <w:t>human capital</w:t>
      </w:r>
      <w:r>
        <w:t xml:space="preserve"> di lingkungan akademik</w:t>
      </w:r>
      <w:r w:rsidR="00ED032F">
        <w:t xml:space="preserve"> </w:t>
      </w:r>
      <w:r>
        <w:t>termasuk akademisi akuntansi</w:t>
      </w:r>
      <w:r w:rsidR="00ED032F">
        <w:t xml:space="preserve"> </w:t>
      </w:r>
      <w:r>
        <w:t>merupakan sumber daya strategis yang menentukan kualitas dan keberlanjutan institusi pendidikan tinggi, sekaligus memperkuat relevansi pengembangan kerangka pengukuran dan pengungkapan human capital yang tidak hanya berlaku pada konteks korporasi, tetapi juga pada konteks organisasi nirlaba dan institusi pendidikan.</w:t>
      </w:r>
    </w:p>
    <w:p w:rsidR="00293753" w:rsidRDefault="000821D4">
      <w:pPr>
        <w:pStyle w:val="Heading1"/>
        <w:spacing w:before="320" w:after="160"/>
      </w:pPr>
      <w:r>
        <w:rPr>
          <w:b/>
          <w:bCs/>
          <w:sz w:val="26"/>
          <w:szCs w:val="26"/>
        </w:rPr>
        <w:t>3. METODE PENELITIAN</w:t>
      </w:r>
    </w:p>
    <w:p w:rsidR="00293753" w:rsidRDefault="000821D4">
      <w:pPr>
        <w:spacing w:after="200" w:line="360" w:lineRule="auto"/>
        <w:jc w:val="both"/>
      </w:pPr>
      <w:r>
        <w:t>Penelitian ini menggunakan pendekatan kualitatif dengan jenis penelitian kepustakaan (</w:t>
      </w:r>
      <w:r w:rsidRPr="00915F65">
        <w:rPr>
          <w:i/>
        </w:rPr>
        <w:t>library research</w:t>
      </w:r>
      <w:r>
        <w:t xml:space="preserve">), yaitu penelitian yang data utamanya bersumber dari bahan-bahan tertulis berupa buku, artikel jurnal ilmiah, dan hasil penelitian terdahulu yang relevan dengan topik akuntansi </w:t>
      </w:r>
      <w:r w:rsidRPr="00915F65">
        <w:rPr>
          <w:i/>
        </w:rPr>
        <w:t>human capital</w:t>
      </w:r>
      <w:r>
        <w:t xml:space="preserve"> (Sugiyono, 2016). Pendekatan kualitatif dipilih karena topik penelitian ini bersifat konseptual dan interpretatif, yaitu memahami bagaimana suatu fenomena</w:t>
      </w:r>
      <w:r w:rsidR="00915F65">
        <w:t xml:space="preserve"> </w:t>
      </w:r>
      <w:r>
        <w:t xml:space="preserve">dalam hal ini perlakuan akuntansi atas </w:t>
      </w:r>
      <w:r w:rsidRPr="00915F65">
        <w:rPr>
          <w:i/>
        </w:rPr>
        <w:t>human capital</w:t>
      </w:r>
      <w:r w:rsidR="00915F65">
        <w:t xml:space="preserve"> </w:t>
      </w:r>
      <w:r>
        <w:t>dimaknai, diperdebatkan, dan dikonstruksi dalam wacana akademik, sehingga lebih tepat dianalisis secara mendalam (</w:t>
      </w:r>
      <w:r w:rsidRPr="00915F65">
        <w:rPr>
          <w:i/>
        </w:rPr>
        <w:t>in-depth</w:t>
      </w:r>
      <w:r>
        <w:t>) dan kontekstual dibandingkan diukur secara statistik.</w:t>
      </w:r>
    </w:p>
    <w:p w:rsidR="00293753" w:rsidRDefault="000821D4">
      <w:pPr>
        <w:spacing w:after="200" w:line="360" w:lineRule="auto"/>
        <w:jc w:val="both"/>
      </w:pPr>
      <w:r>
        <w:lastRenderedPageBreak/>
        <w:t>Sumber data penelitian merupakan data sekunder yang diperoleh melalui penelusuran basis data jurnal ilmiah nasional dan internasional, meliputi Emerald Insight, ScienceDirect, ResearchGate, Google Scholar, dan repositori jurnal ilmiah akuntansi di Indonesia, dengan kata kunci pencarian antara lain “</w:t>
      </w:r>
      <w:r w:rsidRPr="00915F65">
        <w:rPr>
          <w:i/>
        </w:rPr>
        <w:t>human capital accounting</w:t>
      </w:r>
      <w:r>
        <w:t>”, “</w:t>
      </w:r>
      <w:r w:rsidRPr="00915F65">
        <w:rPr>
          <w:i/>
        </w:rPr>
        <w:t>human resource accounting</w:t>
      </w:r>
      <w:r>
        <w:t>”, “</w:t>
      </w:r>
      <w:r w:rsidRPr="00915F65">
        <w:rPr>
          <w:i/>
        </w:rPr>
        <w:t>intellectual capital disclosure</w:t>
      </w:r>
      <w:r>
        <w:t>”, dan “akuntansi sumber daya manusia”. Kriteria pemilihan sumber mencakup relevansi topik dengan bidang akuntansi, kredibilitas penerbit (jurnal terindeks atau publikasi ilmiah bereputasi), dan rentang waktu terbitan yang mencerminkan perkembangan wacana dari gagasan awal hingga kajian terkini.</w:t>
      </w:r>
    </w:p>
    <w:p w:rsidR="00293753" w:rsidRDefault="000821D4">
      <w:pPr>
        <w:spacing w:after="200" w:line="360" w:lineRule="auto"/>
        <w:jc w:val="both"/>
      </w:pPr>
      <w:r>
        <w:t>Teknik pengumpulan data dilakukan melalui studi dokumentasi, yaitu menelaah dan mengumpulkan literatur yang relevan secara sistematis. Analisis data dilakukan dengan teknik analisis isi (</w:t>
      </w:r>
      <w:r w:rsidRPr="00915F65">
        <w:rPr>
          <w:i/>
        </w:rPr>
        <w:t>content analysis</w:t>
      </w:r>
      <w:r>
        <w:t xml:space="preserve">) dan analisis tematik </w:t>
      </w:r>
      <w:r w:rsidRPr="00915F65">
        <w:rPr>
          <w:i/>
        </w:rPr>
        <w:t>(thematic analysis</w:t>
      </w:r>
      <w:r>
        <w:t>), yaitu mengidentifikasi, mengelompokkan, dan menginterpretasikan tema-tema utama yang muncul secara berulang dalam literatur, dalam hal ini tema pengakuan, pengukuran, dan pengungkapan human capital. Teknik content analysis yang digunakan mengacu pada kerangka metodologis yang dikembangkan oleh Guthrie, Petty, Yongvanich, dan Ricceri (2004), yang lazim digunakan dalam penelitian akuntansi modal intelektual untuk mengklasifikasikan unit analisis (dalam hal ini temuan dan argumen dari literatur yang ditelaah) ke dalam kategori-kategori tematik yang telah ditentukan sebelumnya. Keabsahan data pada penelitian kualitatif berbasis studi pustaka ini diperoleh melalui triangulasi sumber, yaitu membandingkan dan mengonfirmasi temuan dari berbagai literatur yang berbeda penulis, tahun terbit, dan konteks geografis, guna memastikan konsistensi dan kredibilitas simpulan yang dihasilkan (Sugiyono, 2016).</w:t>
      </w:r>
    </w:p>
    <w:p w:rsidR="00293753" w:rsidRDefault="000821D4">
      <w:pPr>
        <w:pStyle w:val="Heading1"/>
        <w:spacing w:before="320" w:after="160"/>
      </w:pPr>
      <w:r>
        <w:rPr>
          <w:b/>
          <w:bCs/>
          <w:sz w:val="26"/>
          <w:szCs w:val="26"/>
        </w:rPr>
        <w:t>4. HASIL DAN PEMBAHASAN</w:t>
      </w:r>
    </w:p>
    <w:p w:rsidR="00293753" w:rsidRDefault="000821D4">
      <w:pPr>
        <w:pStyle w:val="Heading2"/>
        <w:spacing w:before="320" w:after="160"/>
      </w:pPr>
      <w:r>
        <w:rPr>
          <w:b/>
          <w:bCs/>
          <w:sz w:val="24"/>
          <w:szCs w:val="24"/>
        </w:rPr>
        <w:t xml:space="preserve">4.1 Pengakuan </w:t>
      </w:r>
      <w:r w:rsidRPr="00915F65">
        <w:rPr>
          <w:b/>
          <w:bCs/>
          <w:i/>
          <w:sz w:val="24"/>
          <w:szCs w:val="24"/>
        </w:rPr>
        <w:t>Human Capital</w:t>
      </w:r>
      <w:r>
        <w:rPr>
          <w:b/>
          <w:bCs/>
          <w:sz w:val="24"/>
          <w:szCs w:val="24"/>
        </w:rPr>
        <w:t xml:space="preserve"> dalam Kerangka Akuntansi</w:t>
      </w:r>
    </w:p>
    <w:p w:rsidR="00293753" w:rsidRDefault="000821D4">
      <w:pPr>
        <w:spacing w:after="200" w:line="360" w:lineRule="auto"/>
        <w:jc w:val="both"/>
      </w:pPr>
      <w:r>
        <w:t xml:space="preserve">Hasil telaah literatur menunjukkan konsensus yang cukup kuat bahwa </w:t>
      </w:r>
      <w:r w:rsidRPr="00915F65">
        <w:rPr>
          <w:i/>
        </w:rPr>
        <w:t>human capital</w:t>
      </w:r>
      <w:r>
        <w:t>, dalam kerangka akuntansi keuangan yang berlaku umum saat ini, belum dapat diakui sebagai aset dalam laporan posisi keuangan. Hal ini disebabkan oleh dua kendala fundamental. Pertama, kendala kendali (</w:t>
      </w:r>
      <w:r w:rsidRPr="006152B3">
        <w:rPr>
          <w:i/>
        </w:rPr>
        <w:t>control)</w:t>
      </w:r>
      <w:r>
        <w:t>: perusahaan tidak memiliki kepemilikan atau kendali eksklusif atas karyawannya sebagaimana kendali yang dimiliki atas aset berwujud, sebab karyawan senantiasa memiliki kebebasan untuk berhenti bekerja kapan pun (Darma, 2020; Flamholtz &amp; Lacey, 1981). Kedua, kendala keandalan pengukuran (</w:t>
      </w:r>
      <w:r w:rsidRPr="006152B3">
        <w:rPr>
          <w:i/>
        </w:rPr>
        <w:t>reliability of measurement</w:t>
      </w:r>
      <w:r>
        <w:t xml:space="preserve">): nilai ekonomis yang dihasilkan oleh seorang karyawan di masa depan bersifat sangat subjektif </w:t>
      </w:r>
      <w:r>
        <w:lastRenderedPageBreak/>
        <w:t>dan sulit diestimasi secara andal, berbeda dengan aset berwujud yang harga perolehannya dapat diverifikasi secara objektif.</w:t>
      </w:r>
    </w:p>
    <w:p w:rsidR="00293753" w:rsidRDefault="000821D4">
      <w:pPr>
        <w:spacing w:after="200" w:line="360" w:lineRule="auto"/>
        <w:jc w:val="both"/>
      </w:pPr>
      <w:r>
        <w:t>Sebagai konsekuensinya, praktik akuntansi yang berlaku umum memperlakukan seluruh pengeluaran terkait sumber daya manusia</w:t>
      </w:r>
      <w:r w:rsidR="006152B3">
        <w:t xml:space="preserve">, </w:t>
      </w:r>
      <w:r>
        <w:t>mulai dari biaya rekrutmen, pelatihan, hingga pengembangan kompetensi</w:t>
      </w:r>
      <w:r w:rsidR="006152B3">
        <w:t xml:space="preserve"> </w:t>
      </w:r>
      <w:r>
        <w:t>sebagai beban (</w:t>
      </w:r>
      <w:r w:rsidRPr="006152B3">
        <w:rPr>
          <w:i/>
        </w:rPr>
        <w:t>expense</w:t>
      </w:r>
      <w:r>
        <w:t>) pada periode terjadinya, bukan sebagai pengeluaran modal (</w:t>
      </w:r>
      <w:r w:rsidRPr="00E42B04">
        <w:rPr>
          <w:i/>
        </w:rPr>
        <w:t>capital expenditure</w:t>
      </w:r>
      <w:r>
        <w:t xml:space="preserve">) yang dikapitalisasi dan diamortisasi. Perlakuan ini menimbulkan inkonsistensi konseptual: di satu sisi, manajemen dan investor secara luas mengakui bahwa </w:t>
      </w:r>
      <w:r w:rsidRPr="00E42B04">
        <w:rPr>
          <w:i/>
        </w:rPr>
        <w:t>human capital</w:t>
      </w:r>
      <w:r>
        <w:t xml:space="preserve"> merupakan penggerak utama nilai perusahaan di era ekonomi pengetahuan, tetapi di sisi lain laporan keuangan formal sama sekali tidak merefleksikan investasi tersebut sebagai aset. Beberapa studi kasus di Indonesia bahkan menunjukkan bahwa ketika perusahaan mencoba menerapkan pendekatan akuntansi sumber daya manusia secara internal</w:t>
      </w:r>
      <w:r w:rsidR="00E42B04">
        <w:t xml:space="preserve">, </w:t>
      </w:r>
      <w:r>
        <w:t>misalnya dengan mengapitalisasi dan mengamortisasi biaya pengembangan karyawan sebagai bagian dari analisis manajerial</w:t>
      </w:r>
      <w:r w:rsidR="00E42B04">
        <w:t xml:space="preserve"> </w:t>
      </w:r>
      <w:r>
        <w:t>hasil perhitungan tersebut tetap tidak dapat disajikan dalam laporan keuangan yang diaudit karena tidak sesuai dengan standar akuntansi keuangan yang berlaku (Darma, 2020).</w:t>
      </w:r>
    </w:p>
    <w:p w:rsidR="00293753" w:rsidRDefault="000821D4">
      <w:pPr>
        <w:spacing w:after="200" w:line="360" w:lineRule="auto"/>
        <w:jc w:val="both"/>
      </w:pPr>
      <w:r>
        <w:t xml:space="preserve">Inkonsistensi ini menjadi lebih tampak jika </w:t>
      </w:r>
      <w:r w:rsidRPr="00E42B04">
        <w:rPr>
          <w:i/>
        </w:rPr>
        <w:t>human capital</w:t>
      </w:r>
      <w:r>
        <w:t xml:space="preserve"> dibandingkan dengan perlakuan akuntansi terhadap aset tidak berwujud lain, seperti </w:t>
      </w:r>
      <w:r w:rsidRPr="00EC7387">
        <w:rPr>
          <w:i/>
        </w:rPr>
        <w:t>goodwill</w:t>
      </w:r>
      <w:r>
        <w:t xml:space="preserve"> hasil akuisisi maupun biaya pengembangan (</w:t>
      </w:r>
      <w:r w:rsidRPr="00EC7387">
        <w:rPr>
          <w:i/>
        </w:rPr>
        <w:t>development cost</w:t>
      </w:r>
      <w:r>
        <w:t xml:space="preserve">) yang telah memenuhi kriteria tertentu. Kedua jenis aset tersebut dapat diakui dan disajikan dalam laporan posisi keuangan sepanjang syarat identifiabilitas, kendali, dan keandalan pengukuran terpenuhi, sementara </w:t>
      </w:r>
      <w:r w:rsidRPr="00EC7387">
        <w:rPr>
          <w:i/>
        </w:rPr>
        <w:t>human capital</w:t>
      </w:r>
      <w:r w:rsidR="00EC7387">
        <w:t xml:space="preserve"> </w:t>
      </w:r>
      <w:r>
        <w:t>meskipun secara ekonomi seringkali jauh lebih material nilainya bagi perusahaan berbasis pengetahuan dan jasa</w:t>
      </w:r>
      <w:r w:rsidR="00EC7387">
        <w:t xml:space="preserve"> </w:t>
      </w:r>
      <w:r>
        <w:t>tidak pernah memenuhi syarat tersebut karena sifatnya yang melekat pada individu dan tidak dapat dipisahkan (</w:t>
      </w:r>
      <w:r w:rsidRPr="00EC7387">
        <w:rPr>
          <w:i/>
        </w:rPr>
        <w:t>non-separable</w:t>
      </w:r>
      <w:r>
        <w:t xml:space="preserve">) dari orangnya. Ketimpangan perlakuan ini menegaskan bahwa keterbatasan pengakuan </w:t>
      </w:r>
      <w:r w:rsidRPr="00EC7387">
        <w:rPr>
          <w:i/>
        </w:rPr>
        <w:t>human capital</w:t>
      </w:r>
      <w:r>
        <w:t xml:space="preserve"> bukan disebabkan oleh rendahnya nilai ekonomisnya, melainkan oleh ketidaksesuaian karakteristik </w:t>
      </w:r>
      <w:r w:rsidRPr="00EC7387">
        <w:rPr>
          <w:i/>
        </w:rPr>
        <w:t>human capital</w:t>
      </w:r>
      <w:r>
        <w:t xml:space="preserve"> dengan kriteria pengakuan aset yang dirancang terutama untuk aset berwujud dan aset tidak berwujud yang dapat dipisahkan dari pemiliknya.</w:t>
      </w:r>
    </w:p>
    <w:p w:rsidR="00293753" w:rsidRDefault="000821D4">
      <w:pPr>
        <w:spacing w:after="200" w:line="360" w:lineRule="auto"/>
        <w:jc w:val="both"/>
      </w:pPr>
      <w:r>
        <w:t xml:space="preserve">Implikasi dari kondisi ini cukup signifikan bagi pengguna laporan keuangan. Ketika </w:t>
      </w:r>
      <w:r w:rsidRPr="00EC7387">
        <w:rPr>
          <w:i/>
        </w:rPr>
        <w:t>human capital</w:t>
      </w:r>
      <w:r>
        <w:t xml:space="preserve"> tidak tercermin dalam neraca, maka rasio-rasio keuangan konvensional yang mengandalkan nilai buku aset</w:t>
      </w:r>
      <w:r w:rsidR="00EC7387">
        <w:t xml:space="preserve"> </w:t>
      </w:r>
      <w:r>
        <w:t xml:space="preserve">seperti </w:t>
      </w:r>
      <w:r w:rsidRPr="00EC7387">
        <w:rPr>
          <w:i/>
        </w:rPr>
        <w:t>return on assets</w:t>
      </w:r>
      <w:r>
        <w:t xml:space="preserve"> atau </w:t>
      </w:r>
      <w:r w:rsidRPr="00EC7387">
        <w:rPr>
          <w:i/>
        </w:rPr>
        <w:t>price-to-book ratio</w:t>
      </w:r>
      <w:r w:rsidR="00EC7387">
        <w:t xml:space="preserve"> </w:t>
      </w:r>
      <w:r>
        <w:t xml:space="preserve">cenderung kurang informatif untuk menilai kinerja dan valuasi perusahaan berbasis pengetahuan, karena sebagian besar sumber daya penciptaan nilai perusahaan tersebut berada di luar </w:t>
      </w:r>
      <w:r>
        <w:lastRenderedPageBreak/>
        <w:t>cakupan pengukuran akuntansi formal. Kesenjangan antara nilai pasar (</w:t>
      </w:r>
      <w:r w:rsidRPr="00EC7387">
        <w:rPr>
          <w:i/>
        </w:rPr>
        <w:t>market value</w:t>
      </w:r>
      <w:r>
        <w:t>) dan nilai buku (</w:t>
      </w:r>
      <w:r w:rsidRPr="00EC7387">
        <w:rPr>
          <w:i/>
        </w:rPr>
        <w:t>book value</w:t>
      </w:r>
      <w:r>
        <w:t xml:space="preserve">) yang kerap terjadi pada perusahaan teknologi dan jasa profesional sebagian besar dapat dijelaskan oleh ketiadaan pengakuan </w:t>
      </w:r>
      <w:r w:rsidRPr="00EC7387">
        <w:rPr>
          <w:i/>
        </w:rPr>
        <w:t>human capital</w:t>
      </w:r>
      <w:r>
        <w:t xml:space="preserve"> dan komponen modal intelektual lainnya dalam laporan keuangan, sebuah fenomena yang telah lama disoroti sebagai salah satu pendorong utama lahirnya kajian modal intelektual (Bontis, 2001).</w:t>
      </w:r>
    </w:p>
    <w:p w:rsidR="00293753" w:rsidRDefault="000821D4">
      <w:pPr>
        <w:pStyle w:val="Heading2"/>
        <w:spacing w:before="320" w:after="160"/>
      </w:pPr>
      <w:r>
        <w:rPr>
          <w:b/>
          <w:bCs/>
          <w:sz w:val="24"/>
          <w:szCs w:val="24"/>
        </w:rPr>
        <w:t xml:space="preserve">4.2 Pengukuran </w:t>
      </w:r>
      <w:r w:rsidRPr="00EC7387">
        <w:rPr>
          <w:b/>
          <w:bCs/>
          <w:i/>
          <w:sz w:val="24"/>
          <w:szCs w:val="24"/>
        </w:rPr>
        <w:t>Human Capital</w:t>
      </w:r>
    </w:p>
    <w:p w:rsidR="00293753" w:rsidRDefault="000821D4">
      <w:pPr>
        <w:spacing w:after="200" w:line="360" w:lineRule="auto"/>
        <w:jc w:val="both"/>
      </w:pPr>
      <w:r>
        <w:t xml:space="preserve">Ketiadaan pengakuan formal dalam neraca tidak menyurutkan upaya akademisi dan praktisi untuk mengembangkan model pengukuran </w:t>
      </w:r>
      <w:r w:rsidRPr="002C3C40">
        <w:rPr>
          <w:i/>
        </w:rPr>
        <w:t>human capital</w:t>
      </w:r>
      <w:r>
        <w:t xml:space="preserve"> di luar kerangka pelaporan keuangan konvensional. Hasil kajian mengidentifikasi tiga kelompok pendekatan pengukuran yang berkembang dalam literatur, sebagaimana disintesis oleh Prasetia dan Maisarah (2025):</w:t>
      </w:r>
    </w:p>
    <w:p w:rsidR="00293753" w:rsidRDefault="000821D4">
      <w:pPr>
        <w:spacing w:after="200" w:line="360" w:lineRule="auto"/>
        <w:ind w:left="360"/>
        <w:jc w:val="both"/>
      </w:pPr>
      <w:r>
        <w:t>Pertama, pendekatan berbasis biaya (</w:t>
      </w:r>
      <w:r w:rsidRPr="002C3C40">
        <w:rPr>
          <w:i/>
        </w:rPr>
        <w:t>cost-based approach</w:t>
      </w:r>
      <w:r>
        <w:t xml:space="preserve">), yang mengukur </w:t>
      </w:r>
      <w:r w:rsidRPr="002C3C40">
        <w:rPr>
          <w:i/>
        </w:rPr>
        <w:t>human capital</w:t>
      </w:r>
      <w:r>
        <w:t xml:space="preserve"> berdasarkan akumulasi biaya historis (</w:t>
      </w:r>
      <w:r w:rsidRPr="002C3C40">
        <w:rPr>
          <w:i/>
        </w:rPr>
        <w:t>historical cost</w:t>
      </w:r>
      <w:r>
        <w:t>) yang dikeluarkan perusahaan untuk memperoleh dan mengembangkan karyawannya, meliputi biaya rekrutmen, seleksi, orientasi, dan pelatihan. Pendekatan ini relatif mudah diterapkan karena datanya tersedia dari catatan akuntansi internal, tetapi memiliki kelemahan karena tidak mencerminkan nilai ekonomis riil yang dihasilkan karyawan bagi perusahaan. Bavali dan Jokar (2014) berupaya menyempurnakan pendekatan ini dengan menggabungkan unsur biaya historis dan estimasi produktivitas karyawan, sehingga angka yang dihasilkan lebih relevan secara manajerial dibandingkan sekadar akumulasi biaya perolehan semata.</w:t>
      </w:r>
    </w:p>
    <w:p w:rsidR="00293753" w:rsidRDefault="000821D4">
      <w:pPr>
        <w:spacing w:after="200" w:line="360" w:lineRule="auto"/>
        <w:ind w:left="360"/>
        <w:jc w:val="both"/>
      </w:pPr>
      <w:r>
        <w:t>Kedua, pendekatan berbasis nilai ekonomis (</w:t>
      </w:r>
      <w:r w:rsidRPr="002C3C40">
        <w:rPr>
          <w:i/>
        </w:rPr>
        <w:t>income-based/economic value approach</w:t>
      </w:r>
      <w:r>
        <w:t xml:space="preserve">), yang mengestimasi </w:t>
      </w:r>
      <w:r w:rsidRPr="008B0B66">
        <w:rPr>
          <w:i/>
        </w:rPr>
        <w:t>human capital</w:t>
      </w:r>
      <w:r>
        <w:t xml:space="preserve"> berdasarkan proyeksi kontribusi nilai ekonomis (</w:t>
      </w:r>
      <w:r w:rsidRPr="008B0B66">
        <w:rPr>
          <w:i/>
        </w:rPr>
        <w:t>future earnings</w:t>
      </w:r>
      <w:r>
        <w:t>) yang akan dihasilkan karyawan sepanjang masa kerjanya. Pendekatan ini secara konseptual lebih relevan karena berorientasi pada manfaat ekonomi masa depan, sejalan dengan definisi aset dalam kerangka konseptual akuntansi, namun sangat rentan terhadap subjektivitas asumsi dan tingkat diskonto yang digunakan.</w:t>
      </w:r>
    </w:p>
    <w:p w:rsidR="00293753" w:rsidRDefault="000821D4">
      <w:pPr>
        <w:spacing w:after="200" w:line="360" w:lineRule="auto"/>
        <w:ind w:left="360"/>
        <w:jc w:val="both"/>
      </w:pPr>
      <w:r>
        <w:t>Ketiga, pendekatan berbasis efisiensi (</w:t>
      </w:r>
      <w:r w:rsidRPr="008B0B66">
        <w:rPr>
          <w:i/>
        </w:rPr>
        <w:t>efficiency-based approach</w:t>
      </w:r>
      <w:r>
        <w:t xml:space="preserve">), yang direpresentasikan oleh model </w:t>
      </w:r>
      <w:r w:rsidRPr="004E7CFF">
        <w:rPr>
          <w:i/>
        </w:rPr>
        <w:t>Value Added Intellectual Coefficient</w:t>
      </w:r>
      <w:r>
        <w:t xml:space="preserve"> (VAIC). Berbeda dari dua pendekatan sebelumnya yang berusaha mengukur nilai </w:t>
      </w:r>
      <w:r w:rsidRPr="001D223D">
        <w:rPr>
          <w:i/>
        </w:rPr>
        <w:t>human capital</w:t>
      </w:r>
      <w:r>
        <w:t xml:space="preserve"> secara </w:t>
      </w:r>
      <w:r>
        <w:lastRenderedPageBreak/>
        <w:t xml:space="preserve">langsung, model VAIC mengukur seberapa efisien perusahaan memanfaatkan </w:t>
      </w:r>
      <w:r w:rsidRPr="001D223D">
        <w:rPr>
          <w:i/>
        </w:rPr>
        <w:t xml:space="preserve">human capital </w:t>
      </w:r>
      <w:r>
        <w:t xml:space="preserve">untuk menciptakan nilai tambah, melalui rasio </w:t>
      </w:r>
      <w:r w:rsidRPr="001D223D">
        <w:rPr>
          <w:i/>
        </w:rPr>
        <w:t>Human Capital Efficiency</w:t>
      </w:r>
      <w:r>
        <w:t xml:space="preserve"> (HCE), yaitu perbandingan antara nilai tambah (</w:t>
      </w:r>
      <w:r w:rsidRPr="001D223D">
        <w:rPr>
          <w:i/>
        </w:rPr>
        <w:t>value added</w:t>
      </w:r>
      <w:r>
        <w:t>) perusahaan dengan total beban tenaga kerja (Pulic, 2004). Keunggulan model ini terletak pada ketersediaan datanya yang bersumber langsung dari laporan keuangan teraudit, sehingga lebih objektif dan dapat diperbandingkan antarperusahaan maupun antarwaktu, meskipun model ini juga dikritik karena mengukur efisiensi biaya tenaga kerja, bukan nilai intrinsik human capital itu sendiri.</w:t>
      </w:r>
    </w:p>
    <w:p w:rsidR="00293753" w:rsidRDefault="000821D4">
      <w:pPr>
        <w:spacing w:after="200" w:line="360" w:lineRule="auto"/>
        <w:jc w:val="both"/>
      </w:pPr>
      <w:r>
        <w:t xml:space="preserve">Selain ketiga kelompok pendekatan di atas, dua model pelopor turut memperkaya khazanah pengukuran human capital, yaitu Skandia Navigator (Edvinsson &amp; Malone, 1997) yang memadukan indikator keuangan dan non-keuangan dalam satu kerangka pelaporan terintegrasi, dan </w:t>
      </w:r>
      <w:r w:rsidRPr="001D223D">
        <w:rPr>
          <w:i/>
        </w:rPr>
        <w:t>Intangible Assets Monitor</w:t>
      </w:r>
      <w:r>
        <w:t xml:space="preserve"> (Sveiby, 1997) yang mengukur kompetensi karyawan melalui indikator pertumbuhan, efisiensi, dan stabilitas. Tabel 1 merangkum karakteristik utama dari masing-masing model pengukuran human capital yang ditelaah dalam kajian ini, sebagai basis perbandingan sistematis antarmodel.</w:t>
      </w:r>
    </w:p>
    <w:p w:rsidR="00293753" w:rsidRDefault="000821D4">
      <w:pPr>
        <w:spacing w:after="200" w:line="360" w:lineRule="auto"/>
        <w:jc w:val="center"/>
      </w:pPr>
      <w:r>
        <w:rPr>
          <w:b/>
          <w:bCs/>
        </w:rPr>
        <w:t>Tabel 1. Perbandingan Model-Model Pengukuran Human Capital</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2000"/>
        <w:gridCol w:w="1700"/>
        <w:gridCol w:w="2100"/>
        <w:gridCol w:w="2100"/>
      </w:tblGrid>
      <w:tr w:rsidR="00293753">
        <w:trPr>
          <w:tblHeader/>
        </w:trPr>
        <w:tc>
          <w:tcPr>
            <w:tcW w:w="1600" w:type="dxa"/>
            <w:shd w:val="clear" w:color="auto" w:fill="1F4E79"/>
            <w:tcMar>
              <w:top w:w="80" w:type="dxa"/>
              <w:left w:w="100" w:type="dxa"/>
              <w:bottom w:w="80" w:type="dxa"/>
              <w:right w:w="100" w:type="dxa"/>
            </w:tcMar>
          </w:tcPr>
          <w:p w:rsidR="00293753" w:rsidRDefault="000821D4">
            <w:r>
              <w:rPr>
                <w:b/>
                <w:bCs/>
                <w:color w:val="FFFFFF"/>
                <w:sz w:val="20"/>
                <w:szCs w:val="20"/>
              </w:rPr>
              <w:t>Model</w:t>
            </w:r>
          </w:p>
        </w:tc>
        <w:tc>
          <w:tcPr>
            <w:tcW w:w="2000" w:type="dxa"/>
            <w:shd w:val="clear" w:color="auto" w:fill="1F4E79"/>
            <w:tcMar>
              <w:top w:w="80" w:type="dxa"/>
              <w:left w:w="100" w:type="dxa"/>
              <w:bottom w:w="80" w:type="dxa"/>
              <w:right w:w="100" w:type="dxa"/>
            </w:tcMar>
          </w:tcPr>
          <w:p w:rsidR="00293753" w:rsidRDefault="000821D4">
            <w:r>
              <w:rPr>
                <w:b/>
                <w:bCs/>
                <w:color w:val="FFFFFF"/>
                <w:sz w:val="20"/>
                <w:szCs w:val="20"/>
              </w:rPr>
              <w:t>Fokus Pengukuran</w:t>
            </w:r>
          </w:p>
        </w:tc>
        <w:tc>
          <w:tcPr>
            <w:tcW w:w="1700" w:type="dxa"/>
            <w:shd w:val="clear" w:color="auto" w:fill="1F4E79"/>
            <w:tcMar>
              <w:top w:w="80" w:type="dxa"/>
              <w:left w:w="100" w:type="dxa"/>
              <w:bottom w:w="80" w:type="dxa"/>
              <w:right w:w="100" w:type="dxa"/>
            </w:tcMar>
          </w:tcPr>
          <w:p w:rsidR="00293753" w:rsidRDefault="000821D4">
            <w:r>
              <w:rPr>
                <w:b/>
                <w:bCs/>
                <w:color w:val="FFFFFF"/>
                <w:sz w:val="20"/>
                <w:szCs w:val="20"/>
              </w:rPr>
              <w:t>Sumber Data</w:t>
            </w:r>
          </w:p>
        </w:tc>
        <w:tc>
          <w:tcPr>
            <w:tcW w:w="2100" w:type="dxa"/>
            <w:shd w:val="clear" w:color="auto" w:fill="1F4E79"/>
            <w:tcMar>
              <w:top w:w="80" w:type="dxa"/>
              <w:left w:w="100" w:type="dxa"/>
              <w:bottom w:w="80" w:type="dxa"/>
              <w:right w:w="100" w:type="dxa"/>
            </w:tcMar>
          </w:tcPr>
          <w:p w:rsidR="00293753" w:rsidRDefault="000821D4">
            <w:r>
              <w:rPr>
                <w:b/>
                <w:bCs/>
                <w:color w:val="FFFFFF"/>
                <w:sz w:val="20"/>
                <w:szCs w:val="20"/>
              </w:rPr>
              <w:t>Kelebihan</w:t>
            </w:r>
          </w:p>
        </w:tc>
        <w:tc>
          <w:tcPr>
            <w:tcW w:w="2100" w:type="dxa"/>
            <w:shd w:val="clear" w:color="auto" w:fill="1F4E79"/>
            <w:tcMar>
              <w:top w:w="80" w:type="dxa"/>
              <w:left w:w="100" w:type="dxa"/>
              <w:bottom w:w="80" w:type="dxa"/>
              <w:right w:w="100" w:type="dxa"/>
            </w:tcMar>
          </w:tcPr>
          <w:p w:rsidR="00293753" w:rsidRDefault="000821D4">
            <w:r>
              <w:rPr>
                <w:b/>
                <w:bCs/>
                <w:color w:val="FFFFFF"/>
                <w:sz w:val="20"/>
                <w:szCs w:val="20"/>
              </w:rPr>
              <w:t>Keterbatasan</w:t>
            </w:r>
          </w:p>
        </w:tc>
      </w:tr>
      <w:tr w:rsidR="00293753">
        <w:tc>
          <w:tcPr>
            <w:tcW w:w="1600" w:type="dxa"/>
            <w:tcMar>
              <w:top w:w="80" w:type="dxa"/>
              <w:left w:w="100" w:type="dxa"/>
              <w:bottom w:w="80" w:type="dxa"/>
              <w:right w:w="100" w:type="dxa"/>
            </w:tcMar>
          </w:tcPr>
          <w:p w:rsidR="00293753" w:rsidRPr="001D223D" w:rsidRDefault="000821D4">
            <w:pPr>
              <w:rPr>
                <w:i/>
              </w:rPr>
            </w:pPr>
            <w:r w:rsidRPr="001D223D">
              <w:rPr>
                <w:i/>
                <w:sz w:val="19"/>
                <w:szCs w:val="19"/>
              </w:rPr>
              <w:t>Cost-Based Approach</w:t>
            </w:r>
          </w:p>
        </w:tc>
        <w:tc>
          <w:tcPr>
            <w:tcW w:w="2000" w:type="dxa"/>
            <w:tcMar>
              <w:top w:w="80" w:type="dxa"/>
              <w:left w:w="100" w:type="dxa"/>
              <w:bottom w:w="80" w:type="dxa"/>
              <w:right w:w="100" w:type="dxa"/>
            </w:tcMar>
          </w:tcPr>
          <w:p w:rsidR="00293753" w:rsidRDefault="000821D4">
            <w:r>
              <w:rPr>
                <w:sz w:val="19"/>
                <w:szCs w:val="19"/>
              </w:rPr>
              <w:t>Akumulasi biaya historis perolehan &amp; pengembangan karyawan</w:t>
            </w:r>
          </w:p>
        </w:tc>
        <w:tc>
          <w:tcPr>
            <w:tcW w:w="1700" w:type="dxa"/>
            <w:tcMar>
              <w:top w:w="80" w:type="dxa"/>
              <w:left w:w="100" w:type="dxa"/>
              <w:bottom w:w="80" w:type="dxa"/>
              <w:right w:w="100" w:type="dxa"/>
            </w:tcMar>
          </w:tcPr>
          <w:p w:rsidR="00293753" w:rsidRDefault="000821D4">
            <w:r>
              <w:rPr>
                <w:sz w:val="19"/>
                <w:szCs w:val="19"/>
              </w:rPr>
              <w:t>Catatan akuntansi internal</w:t>
            </w:r>
          </w:p>
        </w:tc>
        <w:tc>
          <w:tcPr>
            <w:tcW w:w="2100" w:type="dxa"/>
            <w:tcMar>
              <w:top w:w="80" w:type="dxa"/>
              <w:left w:w="100" w:type="dxa"/>
              <w:bottom w:w="80" w:type="dxa"/>
              <w:right w:w="100" w:type="dxa"/>
            </w:tcMar>
          </w:tcPr>
          <w:p w:rsidR="00293753" w:rsidRDefault="000821D4">
            <w:r>
              <w:rPr>
                <w:sz w:val="19"/>
                <w:szCs w:val="19"/>
              </w:rPr>
              <w:t>Mudah diterapkan, data tersedia secara internal</w:t>
            </w:r>
          </w:p>
        </w:tc>
        <w:tc>
          <w:tcPr>
            <w:tcW w:w="2100" w:type="dxa"/>
            <w:tcMar>
              <w:top w:w="80" w:type="dxa"/>
              <w:left w:w="100" w:type="dxa"/>
              <w:bottom w:w="80" w:type="dxa"/>
              <w:right w:w="100" w:type="dxa"/>
            </w:tcMar>
          </w:tcPr>
          <w:p w:rsidR="00293753" w:rsidRDefault="000821D4">
            <w:r>
              <w:rPr>
                <w:sz w:val="19"/>
                <w:szCs w:val="19"/>
              </w:rPr>
              <w:t>Tidak mencerminkan nilai ekonomis riil karyawan</w:t>
            </w:r>
          </w:p>
        </w:tc>
      </w:tr>
      <w:tr w:rsidR="00293753">
        <w:tc>
          <w:tcPr>
            <w:tcW w:w="1600" w:type="dxa"/>
            <w:tcMar>
              <w:top w:w="80" w:type="dxa"/>
              <w:left w:w="100" w:type="dxa"/>
              <w:bottom w:w="80" w:type="dxa"/>
              <w:right w:w="100" w:type="dxa"/>
            </w:tcMar>
          </w:tcPr>
          <w:p w:rsidR="00293753" w:rsidRPr="001D223D" w:rsidRDefault="000821D4">
            <w:pPr>
              <w:rPr>
                <w:i/>
              </w:rPr>
            </w:pPr>
            <w:r w:rsidRPr="001D223D">
              <w:rPr>
                <w:i/>
                <w:sz w:val="19"/>
                <w:szCs w:val="19"/>
              </w:rPr>
              <w:t>Income-Based Approach</w:t>
            </w:r>
          </w:p>
        </w:tc>
        <w:tc>
          <w:tcPr>
            <w:tcW w:w="2000" w:type="dxa"/>
            <w:tcMar>
              <w:top w:w="80" w:type="dxa"/>
              <w:left w:w="100" w:type="dxa"/>
              <w:bottom w:w="80" w:type="dxa"/>
              <w:right w:w="100" w:type="dxa"/>
            </w:tcMar>
          </w:tcPr>
          <w:p w:rsidR="00293753" w:rsidRDefault="000821D4">
            <w:r>
              <w:rPr>
                <w:sz w:val="19"/>
                <w:szCs w:val="19"/>
              </w:rPr>
              <w:t>Estimasi nilai ekonomis masa depan (future earnings) karyawan</w:t>
            </w:r>
          </w:p>
        </w:tc>
        <w:tc>
          <w:tcPr>
            <w:tcW w:w="1700" w:type="dxa"/>
            <w:tcMar>
              <w:top w:w="80" w:type="dxa"/>
              <w:left w:w="100" w:type="dxa"/>
              <w:bottom w:w="80" w:type="dxa"/>
              <w:right w:w="100" w:type="dxa"/>
            </w:tcMar>
          </w:tcPr>
          <w:p w:rsidR="00293753" w:rsidRDefault="000821D4">
            <w:r>
              <w:rPr>
                <w:sz w:val="19"/>
                <w:szCs w:val="19"/>
              </w:rPr>
              <w:t>Proyeksi &amp; asumsi manajerial</w:t>
            </w:r>
          </w:p>
        </w:tc>
        <w:tc>
          <w:tcPr>
            <w:tcW w:w="2100" w:type="dxa"/>
            <w:tcMar>
              <w:top w:w="80" w:type="dxa"/>
              <w:left w:w="100" w:type="dxa"/>
              <w:bottom w:w="80" w:type="dxa"/>
              <w:right w:w="100" w:type="dxa"/>
            </w:tcMar>
          </w:tcPr>
          <w:p w:rsidR="00293753" w:rsidRDefault="000821D4">
            <w:r>
              <w:rPr>
                <w:sz w:val="19"/>
                <w:szCs w:val="19"/>
              </w:rPr>
              <w:t>Konseptual selaras dengan definisi aset</w:t>
            </w:r>
          </w:p>
        </w:tc>
        <w:tc>
          <w:tcPr>
            <w:tcW w:w="2100" w:type="dxa"/>
            <w:tcMar>
              <w:top w:w="80" w:type="dxa"/>
              <w:left w:w="100" w:type="dxa"/>
              <w:bottom w:w="80" w:type="dxa"/>
              <w:right w:w="100" w:type="dxa"/>
            </w:tcMar>
          </w:tcPr>
          <w:p w:rsidR="00293753" w:rsidRDefault="000821D4">
            <w:r>
              <w:rPr>
                <w:sz w:val="19"/>
                <w:szCs w:val="19"/>
              </w:rPr>
              <w:t>Sangat subjektif, bergantung asumsi &amp; diskonto</w:t>
            </w:r>
          </w:p>
        </w:tc>
      </w:tr>
      <w:tr w:rsidR="00293753">
        <w:tc>
          <w:tcPr>
            <w:tcW w:w="1600" w:type="dxa"/>
            <w:tcMar>
              <w:top w:w="80" w:type="dxa"/>
              <w:left w:w="100" w:type="dxa"/>
              <w:bottom w:w="80" w:type="dxa"/>
              <w:right w:w="100" w:type="dxa"/>
            </w:tcMar>
          </w:tcPr>
          <w:p w:rsidR="00293753" w:rsidRDefault="000821D4">
            <w:r w:rsidRPr="001D223D">
              <w:rPr>
                <w:i/>
                <w:sz w:val="19"/>
                <w:szCs w:val="19"/>
              </w:rPr>
              <w:t>Skandia Navigator</w:t>
            </w:r>
            <w:r>
              <w:rPr>
                <w:sz w:val="19"/>
                <w:szCs w:val="19"/>
              </w:rPr>
              <w:t xml:space="preserve"> (Edvinsson &amp; Malone, 1997)</w:t>
            </w:r>
          </w:p>
        </w:tc>
        <w:tc>
          <w:tcPr>
            <w:tcW w:w="2000" w:type="dxa"/>
            <w:tcMar>
              <w:top w:w="80" w:type="dxa"/>
              <w:left w:w="100" w:type="dxa"/>
              <w:bottom w:w="80" w:type="dxa"/>
              <w:right w:w="100" w:type="dxa"/>
            </w:tcMar>
          </w:tcPr>
          <w:p w:rsidR="00293753" w:rsidRDefault="000821D4">
            <w:r>
              <w:rPr>
                <w:sz w:val="19"/>
                <w:szCs w:val="19"/>
              </w:rPr>
              <w:t>Human capital &amp; structural capital dalam kerangka terintegrasi</w:t>
            </w:r>
          </w:p>
        </w:tc>
        <w:tc>
          <w:tcPr>
            <w:tcW w:w="1700" w:type="dxa"/>
            <w:tcMar>
              <w:top w:w="80" w:type="dxa"/>
              <w:left w:w="100" w:type="dxa"/>
              <w:bottom w:w="80" w:type="dxa"/>
              <w:right w:w="100" w:type="dxa"/>
            </w:tcMar>
          </w:tcPr>
          <w:p w:rsidR="00293753" w:rsidRDefault="000821D4">
            <w:r>
              <w:rPr>
                <w:sz w:val="19"/>
                <w:szCs w:val="19"/>
              </w:rPr>
              <w:t>Indikator keuangan &amp; non-keuangan internal</w:t>
            </w:r>
          </w:p>
        </w:tc>
        <w:tc>
          <w:tcPr>
            <w:tcW w:w="2100" w:type="dxa"/>
            <w:tcMar>
              <w:top w:w="80" w:type="dxa"/>
              <w:left w:w="100" w:type="dxa"/>
              <w:bottom w:w="80" w:type="dxa"/>
              <w:right w:w="100" w:type="dxa"/>
            </w:tcMar>
          </w:tcPr>
          <w:p w:rsidR="00293753" w:rsidRDefault="000821D4">
            <w:r>
              <w:rPr>
                <w:sz w:val="19"/>
                <w:szCs w:val="19"/>
              </w:rPr>
              <w:t>Kerangka pelaporan komprehensif</w:t>
            </w:r>
          </w:p>
        </w:tc>
        <w:tc>
          <w:tcPr>
            <w:tcW w:w="2100" w:type="dxa"/>
            <w:tcMar>
              <w:top w:w="80" w:type="dxa"/>
              <w:left w:w="100" w:type="dxa"/>
              <w:bottom w:w="80" w:type="dxa"/>
              <w:right w:w="100" w:type="dxa"/>
            </w:tcMar>
          </w:tcPr>
          <w:p w:rsidR="00293753" w:rsidRDefault="000821D4">
            <w:r>
              <w:rPr>
                <w:sz w:val="19"/>
                <w:szCs w:val="19"/>
              </w:rPr>
              <w:t>Kompleksitas pengumpulan data tinggi</w:t>
            </w:r>
          </w:p>
        </w:tc>
      </w:tr>
      <w:tr w:rsidR="00293753">
        <w:tc>
          <w:tcPr>
            <w:tcW w:w="1600" w:type="dxa"/>
            <w:tcMar>
              <w:top w:w="80" w:type="dxa"/>
              <w:left w:w="100" w:type="dxa"/>
              <w:bottom w:w="80" w:type="dxa"/>
              <w:right w:w="100" w:type="dxa"/>
            </w:tcMar>
          </w:tcPr>
          <w:p w:rsidR="00293753" w:rsidRDefault="000821D4">
            <w:r w:rsidRPr="001D223D">
              <w:rPr>
                <w:i/>
                <w:sz w:val="19"/>
                <w:szCs w:val="19"/>
              </w:rPr>
              <w:t>Intangible Assets Monitor</w:t>
            </w:r>
            <w:r>
              <w:rPr>
                <w:sz w:val="19"/>
                <w:szCs w:val="19"/>
              </w:rPr>
              <w:t xml:space="preserve"> (Sveiby, 1997)</w:t>
            </w:r>
          </w:p>
        </w:tc>
        <w:tc>
          <w:tcPr>
            <w:tcW w:w="2000" w:type="dxa"/>
            <w:tcMar>
              <w:top w:w="80" w:type="dxa"/>
              <w:left w:w="100" w:type="dxa"/>
              <w:bottom w:w="80" w:type="dxa"/>
              <w:right w:w="100" w:type="dxa"/>
            </w:tcMar>
          </w:tcPr>
          <w:p w:rsidR="00293753" w:rsidRDefault="000821D4">
            <w:r>
              <w:rPr>
                <w:sz w:val="19"/>
                <w:szCs w:val="19"/>
              </w:rPr>
              <w:t>Kompetensi karyawan, struktur internal &amp; eksternal</w:t>
            </w:r>
          </w:p>
        </w:tc>
        <w:tc>
          <w:tcPr>
            <w:tcW w:w="1700" w:type="dxa"/>
            <w:tcMar>
              <w:top w:w="80" w:type="dxa"/>
              <w:left w:w="100" w:type="dxa"/>
              <w:bottom w:w="80" w:type="dxa"/>
              <w:right w:w="100" w:type="dxa"/>
            </w:tcMar>
          </w:tcPr>
          <w:p w:rsidR="00293753" w:rsidRDefault="000821D4">
            <w:r>
              <w:rPr>
                <w:sz w:val="19"/>
                <w:szCs w:val="19"/>
              </w:rPr>
              <w:t>Indikator pertumbuhan, efisiensi, stabilitas</w:t>
            </w:r>
          </w:p>
        </w:tc>
        <w:tc>
          <w:tcPr>
            <w:tcW w:w="2100" w:type="dxa"/>
            <w:tcMar>
              <w:top w:w="80" w:type="dxa"/>
              <w:left w:w="100" w:type="dxa"/>
              <w:bottom w:w="80" w:type="dxa"/>
              <w:right w:w="100" w:type="dxa"/>
            </w:tcMar>
          </w:tcPr>
          <w:p w:rsidR="00293753" w:rsidRDefault="000821D4">
            <w:r>
              <w:rPr>
                <w:sz w:val="19"/>
                <w:szCs w:val="19"/>
              </w:rPr>
              <w:t>Menilai dinamika kualitatif human capital</w:t>
            </w:r>
          </w:p>
        </w:tc>
        <w:tc>
          <w:tcPr>
            <w:tcW w:w="2100" w:type="dxa"/>
            <w:tcMar>
              <w:top w:w="80" w:type="dxa"/>
              <w:left w:w="100" w:type="dxa"/>
              <w:bottom w:w="80" w:type="dxa"/>
              <w:right w:w="100" w:type="dxa"/>
            </w:tcMar>
          </w:tcPr>
          <w:p w:rsidR="00293753" w:rsidRDefault="000821D4">
            <w:r>
              <w:rPr>
                <w:sz w:val="19"/>
                <w:szCs w:val="19"/>
              </w:rPr>
              <w:t>Rentan bias subjektif penyusun laporan</w:t>
            </w:r>
          </w:p>
        </w:tc>
      </w:tr>
      <w:tr w:rsidR="00293753">
        <w:tc>
          <w:tcPr>
            <w:tcW w:w="1600" w:type="dxa"/>
            <w:tcMar>
              <w:top w:w="80" w:type="dxa"/>
              <w:left w:w="100" w:type="dxa"/>
              <w:bottom w:w="80" w:type="dxa"/>
              <w:right w:w="100" w:type="dxa"/>
            </w:tcMar>
          </w:tcPr>
          <w:p w:rsidR="00293753" w:rsidRDefault="000821D4">
            <w:r>
              <w:rPr>
                <w:sz w:val="19"/>
                <w:szCs w:val="19"/>
              </w:rPr>
              <w:t>VAIC (Pulic, 2004)</w:t>
            </w:r>
          </w:p>
        </w:tc>
        <w:tc>
          <w:tcPr>
            <w:tcW w:w="2000" w:type="dxa"/>
            <w:tcMar>
              <w:top w:w="80" w:type="dxa"/>
              <w:left w:w="100" w:type="dxa"/>
              <w:bottom w:w="80" w:type="dxa"/>
              <w:right w:w="100" w:type="dxa"/>
            </w:tcMar>
          </w:tcPr>
          <w:p w:rsidR="00293753" w:rsidRDefault="000821D4">
            <w:r>
              <w:rPr>
                <w:sz w:val="19"/>
                <w:szCs w:val="19"/>
              </w:rPr>
              <w:t>Efisiensi penggunaan human capital dalam menciptakan nilai tambah</w:t>
            </w:r>
          </w:p>
        </w:tc>
        <w:tc>
          <w:tcPr>
            <w:tcW w:w="1700" w:type="dxa"/>
            <w:tcMar>
              <w:top w:w="80" w:type="dxa"/>
              <w:left w:w="100" w:type="dxa"/>
              <w:bottom w:w="80" w:type="dxa"/>
              <w:right w:w="100" w:type="dxa"/>
            </w:tcMar>
          </w:tcPr>
          <w:p w:rsidR="00293753" w:rsidRDefault="000821D4">
            <w:r>
              <w:rPr>
                <w:sz w:val="19"/>
                <w:szCs w:val="19"/>
              </w:rPr>
              <w:t>Laporan keuangan teraudit</w:t>
            </w:r>
          </w:p>
        </w:tc>
        <w:tc>
          <w:tcPr>
            <w:tcW w:w="2100" w:type="dxa"/>
            <w:tcMar>
              <w:top w:w="80" w:type="dxa"/>
              <w:left w:w="100" w:type="dxa"/>
              <w:bottom w:w="80" w:type="dxa"/>
              <w:right w:w="100" w:type="dxa"/>
            </w:tcMar>
          </w:tcPr>
          <w:p w:rsidR="00293753" w:rsidRDefault="000821D4">
            <w:r>
              <w:rPr>
                <w:sz w:val="19"/>
                <w:szCs w:val="19"/>
              </w:rPr>
              <w:t>Objektif, dapat diperbandingkan antarperusahaan/waktu</w:t>
            </w:r>
          </w:p>
        </w:tc>
        <w:tc>
          <w:tcPr>
            <w:tcW w:w="2100" w:type="dxa"/>
            <w:tcMar>
              <w:top w:w="80" w:type="dxa"/>
              <w:left w:w="100" w:type="dxa"/>
              <w:bottom w:w="80" w:type="dxa"/>
              <w:right w:w="100" w:type="dxa"/>
            </w:tcMar>
          </w:tcPr>
          <w:p w:rsidR="00293753" w:rsidRDefault="000821D4">
            <w:r>
              <w:rPr>
                <w:sz w:val="19"/>
                <w:szCs w:val="19"/>
              </w:rPr>
              <w:t>Mengukur efisiensi biaya, bukan nilai intrinsik human capital</w:t>
            </w:r>
          </w:p>
        </w:tc>
      </w:tr>
      <w:tr w:rsidR="00293753">
        <w:tc>
          <w:tcPr>
            <w:tcW w:w="1600" w:type="dxa"/>
            <w:tcMar>
              <w:top w:w="80" w:type="dxa"/>
              <w:left w:w="100" w:type="dxa"/>
              <w:bottom w:w="80" w:type="dxa"/>
              <w:right w:w="100" w:type="dxa"/>
            </w:tcMar>
          </w:tcPr>
          <w:p w:rsidR="00293753" w:rsidRDefault="000821D4">
            <w:r w:rsidRPr="001D223D">
              <w:rPr>
                <w:i/>
                <w:sz w:val="19"/>
                <w:szCs w:val="19"/>
              </w:rPr>
              <w:t>Content Analysis</w:t>
            </w:r>
            <w:r>
              <w:rPr>
                <w:sz w:val="19"/>
                <w:szCs w:val="19"/>
              </w:rPr>
              <w:t xml:space="preserve"> (Guthrie &amp; Petty, 2000; Guthrie et al., 2004)</w:t>
            </w:r>
          </w:p>
        </w:tc>
        <w:tc>
          <w:tcPr>
            <w:tcW w:w="2000" w:type="dxa"/>
            <w:tcMar>
              <w:top w:w="80" w:type="dxa"/>
              <w:left w:w="100" w:type="dxa"/>
              <w:bottom w:w="80" w:type="dxa"/>
              <w:right w:w="100" w:type="dxa"/>
            </w:tcMar>
          </w:tcPr>
          <w:p w:rsidR="00293753" w:rsidRDefault="000821D4">
            <w:r>
              <w:rPr>
                <w:sz w:val="19"/>
                <w:szCs w:val="19"/>
              </w:rPr>
              <w:t>Luas &amp; kualitas pengungkapan human capital dalam dokumen</w:t>
            </w:r>
          </w:p>
        </w:tc>
        <w:tc>
          <w:tcPr>
            <w:tcW w:w="1700" w:type="dxa"/>
            <w:tcMar>
              <w:top w:w="80" w:type="dxa"/>
              <w:left w:w="100" w:type="dxa"/>
              <w:bottom w:w="80" w:type="dxa"/>
              <w:right w:w="100" w:type="dxa"/>
            </w:tcMar>
          </w:tcPr>
          <w:p w:rsidR="00293753" w:rsidRDefault="000821D4">
            <w:r>
              <w:rPr>
                <w:sz w:val="19"/>
                <w:szCs w:val="19"/>
              </w:rPr>
              <w:t>Laporan tahunan &amp; dokumen pelaporan lain</w:t>
            </w:r>
          </w:p>
        </w:tc>
        <w:tc>
          <w:tcPr>
            <w:tcW w:w="2100" w:type="dxa"/>
            <w:tcMar>
              <w:top w:w="80" w:type="dxa"/>
              <w:left w:w="100" w:type="dxa"/>
              <w:bottom w:w="80" w:type="dxa"/>
              <w:right w:w="100" w:type="dxa"/>
            </w:tcMar>
          </w:tcPr>
          <w:p w:rsidR="00293753" w:rsidRDefault="000821D4">
            <w:r>
              <w:rPr>
                <w:sz w:val="19"/>
                <w:szCs w:val="19"/>
              </w:rPr>
              <w:t>Menangkap informasi naratif &amp; kualitatif</w:t>
            </w:r>
          </w:p>
        </w:tc>
        <w:tc>
          <w:tcPr>
            <w:tcW w:w="2100" w:type="dxa"/>
            <w:tcMar>
              <w:top w:w="80" w:type="dxa"/>
              <w:left w:w="100" w:type="dxa"/>
              <w:bottom w:w="80" w:type="dxa"/>
              <w:right w:w="100" w:type="dxa"/>
            </w:tcMar>
          </w:tcPr>
          <w:p w:rsidR="00293753" w:rsidRDefault="000821D4">
            <w:r>
              <w:rPr>
                <w:sz w:val="19"/>
                <w:szCs w:val="19"/>
              </w:rPr>
              <w:t>Reliabilitas bergantung pada skema pengodean peneliti</w:t>
            </w:r>
          </w:p>
        </w:tc>
      </w:tr>
    </w:tbl>
    <w:p w:rsidR="00293753" w:rsidRDefault="00293753">
      <w:pPr>
        <w:spacing w:after="200"/>
      </w:pPr>
    </w:p>
    <w:p w:rsidR="00293753" w:rsidRDefault="000821D4">
      <w:pPr>
        <w:spacing w:after="200" w:line="360" w:lineRule="auto"/>
        <w:jc w:val="both"/>
      </w:pPr>
      <w:r>
        <w:lastRenderedPageBreak/>
        <w:t>Tabel 1 menunjukkan bahwa tidak ada satu model pengukuran pun yang secara simultan unggul pada seluruh aspek</w:t>
      </w:r>
      <w:r w:rsidR="001D223D">
        <w:t xml:space="preserve"> </w:t>
      </w:r>
      <w:r>
        <w:t xml:space="preserve">sumber data, objektivitas, dan komparabilitas. Model berbasis biaya dan </w:t>
      </w:r>
      <w:r w:rsidRPr="001D223D">
        <w:rPr>
          <w:i/>
        </w:rPr>
        <w:t>Intangible Assets Monitor</w:t>
      </w:r>
      <w:r>
        <w:t xml:space="preserve"> unggul dalam hal ketersediaan data internal, tetapi lemah dalam komparabilitas antarperusahaan karena bergantung pada kebijakan internal masing-masing entitas. Sebaliknya, model VAIC unggul dalam objektivitas dan komparabilitas karena bersumber dari laporan keuangan teraudit, tetapi lemah dalam merepresentasikan nilai intrinsik </w:t>
      </w:r>
      <w:r w:rsidRPr="001D223D">
        <w:rPr>
          <w:i/>
        </w:rPr>
        <w:t>human capital</w:t>
      </w:r>
      <w:r>
        <w:t xml:space="preserve"> karena hanya mengukur efisiensi penggunaan biaya tenaga kerja. Skandia Navigator berada di posisi tengah, menawarkan kerangka pelaporan yang komprehensif namun menuntut kompleksitas pengumpulan data yang tinggi. Pola </w:t>
      </w:r>
      <w:r w:rsidRPr="001D223D">
        <w:rPr>
          <w:i/>
        </w:rPr>
        <w:t>trade-off</w:t>
      </w:r>
      <w:r>
        <w:t xml:space="preserve"> semacam ini menjelaskan mengapa, sebagaimana ditemukan dalam kajian literatur sistematis terbaru, berbagai model tersebut cenderung digunakan secara saling melengkapi sesuai konteks dan tujuan penelitian atau pelaporan, alih-alih saling menggantikan (Prasetia &amp; Maisarah, 2025).</w:t>
      </w:r>
    </w:p>
    <w:p w:rsidR="00293753" w:rsidRDefault="000821D4">
      <w:pPr>
        <w:spacing w:after="200" w:line="360" w:lineRule="auto"/>
        <w:jc w:val="both"/>
      </w:pPr>
      <w:r>
        <w:t xml:space="preserve">Selain model-model pengukuran kuantitatif tersebut, sebagian peneliti mengembangkan pengukuran </w:t>
      </w:r>
      <w:r w:rsidRPr="001D223D">
        <w:rPr>
          <w:i/>
        </w:rPr>
        <w:t>human capital</w:t>
      </w:r>
      <w:r>
        <w:t xml:space="preserve"> melalui pendekatan analisis isi (</w:t>
      </w:r>
      <w:r w:rsidRPr="001D223D">
        <w:rPr>
          <w:i/>
        </w:rPr>
        <w:t>content analysis</w:t>
      </w:r>
      <w:r>
        <w:t>) terhadap dokumen pelaporan perusahaan. Guthrie dan Petty (2000) mempelopori penggunaan content analysis untuk menginventarisasi dan mengukur luas pengungkapan modal intelektual</w:t>
      </w:r>
      <w:r w:rsidR="00B539ED">
        <w:t xml:space="preserve"> </w:t>
      </w:r>
      <w:r>
        <w:t xml:space="preserve">termasuk </w:t>
      </w:r>
      <w:r w:rsidRPr="00B539ED">
        <w:rPr>
          <w:i/>
        </w:rPr>
        <w:t>human capital</w:t>
      </w:r>
      <w:r w:rsidR="00B539ED">
        <w:t xml:space="preserve"> </w:t>
      </w:r>
      <w:r>
        <w:t xml:space="preserve">dalam laporan tahunan perusahaan di Australia, dengan mengklasifikasikan setiap item pengungkapan ke dalam kategori </w:t>
      </w:r>
      <w:r w:rsidRPr="00747576">
        <w:rPr>
          <w:i/>
        </w:rPr>
        <w:t xml:space="preserve">human capital, structural capital, </w:t>
      </w:r>
      <w:r w:rsidRPr="00747576">
        <w:t>dan</w:t>
      </w:r>
      <w:r w:rsidRPr="00747576">
        <w:rPr>
          <w:i/>
        </w:rPr>
        <w:t xml:space="preserve"> relational capital</w:t>
      </w:r>
      <w:r>
        <w:t xml:space="preserve">. Metode ini kemudian disempurnakan oleh Guthrie, Petty, Yongvanich, dan Ricceri (2004), yang merumuskan kerangka metodologis yang lebih sistematis, sekaligus menjadi salah satu metode yang paling banyak diadopsi dalam penelitian akuntansi modal intelektual di berbagai negara. Pendekatan </w:t>
      </w:r>
      <w:r w:rsidRPr="00747576">
        <w:rPr>
          <w:i/>
        </w:rPr>
        <w:t>content analysis</w:t>
      </w:r>
      <w:r>
        <w:t xml:space="preserve"> ini berbeda secara mendasar dari model-model pengukuran kuantitatif sebelumnya karena tidak menghasilkan suatu angka atau indeks tunggal mengenai nilai </w:t>
      </w:r>
      <w:r w:rsidRPr="00747576">
        <w:rPr>
          <w:i/>
        </w:rPr>
        <w:t>human capital</w:t>
      </w:r>
      <w:r>
        <w:t xml:space="preserve">, melainkan mengukur luas dan kualitas pengungkapan </w:t>
      </w:r>
      <w:r w:rsidRPr="00747576">
        <w:rPr>
          <w:i/>
        </w:rPr>
        <w:t>human capital</w:t>
      </w:r>
      <w:r>
        <w:t xml:space="preserve"> dalam dokumen pelaporan sebagai proksi tidak langsung atas perhatian dan pengelolaan human capital oleh manajemen.</w:t>
      </w:r>
    </w:p>
    <w:p w:rsidR="00293753" w:rsidRDefault="000821D4">
      <w:pPr>
        <w:spacing w:after="200" w:line="360" w:lineRule="auto"/>
        <w:jc w:val="both"/>
      </w:pPr>
      <w:r>
        <w:t xml:space="preserve">Ketiadaan satu model pengukuran yang dominan dan diterima secara universal ini mengonfirmasi bahwa akuntansi </w:t>
      </w:r>
      <w:r w:rsidRPr="00747576">
        <w:rPr>
          <w:i/>
        </w:rPr>
        <w:t>human capital</w:t>
      </w:r>
      <w:r>
        <w:t xml:space="preserve"> masih berada pada tahap perkembangan konseptual </w:t>
      </w:r>
      <w:r w:rsidRPr="00747576">
        <w:rPr>
          <w:i/>
        </w:rPr>
        <w:t>(pre-paradigmatic stage</w:t>
      </w:r>
      <w:r>
        <w:t xml:space="preserve">), di mana berbagai kerangka bersaing untuk menjadi rujukan standar, tanpa adanya otoritas pembuat standar akuntansi yang secara resmi mewajibkan salah satu di antaranya. Kondisi ini konsisten dengan klasifikasi yang </w:t>
      </w:r>
      <w:r>
        <w:lastRenderedPageBreak/>
        <w:t>dikemukakan Luthy (1998) beberapa dekade sebelumnya, yang telah mengidentifikasi keberagaman pendekatan pengukuran modal intelektual sebagai ciri khas bidang kajian ini.</w:t>
      </w:r>
    </w:p>
    <w:p w:rsidR="00293753" w:rsidRDefault="000821D4">
      <w:pPr>
        <w:spacing w:after="200" w:line="360" w:lineRule="auto"/>
        <w:jc w:val="both"/>
      </w:pPr>
      <w:r>
        <w:t xml:space="preserve">Keberagaman model pengukuran ini, alih-alih dipandang sebagai kelemahan, dapat pula dimaknai sebagai bukti bahwa </w:t>
      </w:r>
      <w:r w:rsidRPr="00747576">
        <w:rPr>
          <w:i/>
        </w:rPr>
        <w:t>human capital</w:t>
      </w:r>
      <w:r>
        <w:t xml:space="preserve"> merupakan konstruk multidimensi yang secara inheren menolak direduksi menjadi satu angka tunggal. Sebagaimana tampak pada Tabel 1, setiap model m</w:t>
      </w:r>
      <w:r w:rsidR="00747576">
        <w:t xml:space="preserve">enawarkan sudut pandang berbeda, </w:t>
      </w:r>
      <w:r>
        <w:t xml:space="preserve">biaya historis menyoroti dimensi investasi, pendekatan nilai ekonomis menyoroti dimensi manfaat masa depan, Skandia Navigator dan Intangible Assets Monitor menyoroti dimensi non-keuangan dan kualitatif, sementara VAIC menyoroti dimensi efisiensi penggunaan sumber daya. Implikasinya, peneliti dan praktisi yang hendak mengukur </w:t>
      </w:r>
      <w:r w:rsidRPr="00747576">
        <w:rPr>
          <w:i/>
        </w:rPr>
        <w:t>human capital</w:t>
      </w:r>
      <w:r>
        <w:t xml:space="preserve"> perlu terlebih dahulu memperjelas pertanyaan atau tujuan pengukuran yang hendak dijawab, alih-alih mencari satu model yang dianggap paling “benar” secara universal, karena pada dasarnya kelima model tersebut menjawab pertanyaan yang berbeda-beda mengenai human capital yang sama.</w:t>
      </w:r>
    </w:p>
    <w:p w:rsidR="00293753" w:rsidRDefault="000821D4">
      <w:pPr>
        <w:pStyle w:val="Heading2"/>
        <w:spacing w:before="320" w:after="160"/>
      </w:pPr>
      <w:r>
        <w:rPr>
          <w:b/>
          <w:bCs/>
          <w:sz w:val="24"/>
          <w:szCs w:val="24"/>
        </w:rPr>
        <w:t xml:space="preserve">4.3 Pengungkapan </w:t>
      </w:r>
      <w:r w:rsidRPr="00747576">
        <w:rPr>
          <w:b/>
          <w:bCs/>
          <w:i/>
          <w:sz w:val="24"/>
          <w:szCs w:val="24"/>
        </w:rPr>
        <w:t>Human Capital</w:t>
      </w:r>
    </w:p>
    <w:p w:rsidR="00293753" w:rsidRDefault="000821D4">
      <w:pPr>
        <w:spacing w:after="200" w:line="360" w:lineRule="auto"/>
        <w:jc w:val="both"/>
      </w:pPr>
      <w:r>
        <w:t xml:space="preserve">Pada tataran praktik, keterbatasan pengakuan dan pengukuran formal </w:t>
      </w:r>
      <w:r w:rsidRPr="005420D8">
        <w:rPr>
          <w:i/>
        </w:rPr>
        <w:t>human capital</w:t>
      </w:r>
      <w:r>
        <w:t xml:space="preserve"> mendorong perusahaan mengungkapkan informasi mengenai </w:t>
      </w:r>
      <w:r w:rsidRPr="005420D8">
        <w:rPr>
          <w:i/>
        </w:rPr>
        <w:t>human capital</w:t>
      </w:r>
      <w:r>
        <w:t xml:space="preserve"> secara sukarela (</w:t>
      </w:r>
      <w:r w:rsidRPr="005420D8">
        <w:rPr>
          <w:i/>
        </w:rPr>
        <w:t>voluntary disclosure</w:t>
      </w:r>
      <w:r>
        <w:t>) melalui saluran pelaporan di luar laporan keuangan inti, seperti laporan tahunan, laporan keberlanjutan (</w:t>
      </w:r>
      <w:r w:rsidRPr="005420D8">
        <w:rPr>
          <w:i/>
        </w:rPr>
        <w:t>sustainability report</w:t>
      </w:r>
      <w:r>
        <w:t>), laporan terintegrasi (</w:t>
      </w:r>
      <w:r w:rsidRPr="005420D8">
        <w:rPr>
          <w:i/>
        </w:rPr>
        <w:t>integrated report</w:t>
      </w:r>
      <w:r>
        <w:t xml:space="preserve">), maupun materi rekrutmen dan situs web perusahaan. Kajian terhadap perusahaan jasa profesional akuntansi di Inggris menemukan bahwa human capital merupakan kategori pengungkapan modal intelektual yang paling sering dilaporkan dibandingkan modal struktural maupun modal relasional, namun bentuk pengungkapannya sangat bervariasi tergantung jenis medianya: pengungkapan moneter lebih banyak terkait modal struktural, sedangkan pengungkapan pictorial (gambar/foto) lebih banyak terkait </w:t>
      </w:r>
      <w:r w:rsidRPr="005420D8">
        <w:rPr>
          <w:i/>
        </w:rPr>
        <w:t>human capital</w:t>
      </w:r>
      <w:r>
        <w:t xml:space="preserve"> (Duff, 2018).</w:t>
      </w:r>
    </w:p>
    <w:p w:rsidR="00293753" w:rsidRDefault="000821D4">
      <w:pPr>
        <w:spacing w:after="200" w:line="360" w:lineRule="auto"/>
        <w:jc w:val="both"/>
      </w:pPr>
      <w:r>
        <w:t xml:space="preserve">Variasi tingkat dan kualitas pengungkapan </w:t>
      </w:r>
      <w:r w:rsidRPr="005420D8">
        <w:rPr>
          <w:i/>
        </w:rPr>
        <w:t>human capital</w:t>
      </w:r>
      <w:r>
        <w:t xml:space="preserve"> ini turut dipengaruhi oleh karakteristik perusahaan. Struktur kepemilikan yang lebih terkonsentrasi cenderung berasosiasi dengan tingkat pengungkapan yang berbeda dibandingkan perusahaan dengan kepemilikan tersebar (Bontis, 2003), dan Firer dan Williams (2005) mengonfirmasi bahwa perusahaan dengan kepemilikan lebih tersebar cenderung mengungkapkan informasi modal intelektual secara lebih ekstensif sebagai mekanisme menurunkan asimetri informasi kepada </w:t>
      </w:r>
      <w:r>
        <w:lastRenderedPageBreak/>
        <w:t>investor minoritas. Selain itu, terdapat kecenderungan bahwa perusahaan dengan intensitas modal intelektual yang tinggi—misalnya perusahaan berbasis teknologi dan jasa profesional</w:t>
      </w:r>
      <w:r w:rsidR="005420D8">
        <w:t xml:space="preserve"> </w:t>
      </w:r>
      <w:r>
        <w:t>lebih terdorong mengungkapkan informasi human capital dibandingkan perusahaan padat modal fisik, karena human capital merupakan sumber keunggulan kompetitif utama bagi kelompok perusahaan tersebut.</w:t>
      </w:r>
    </w:p>
    <w:p w:rsidR="00293753" w:rsidRDefault="000821D4">
      <w:pPr>
        <w:spacing w:after="200" w:line="360" w:lineRule="auto"/>
        <w:jc w:val="both"/>
      </w:pPr>
      <w:r>
        <w:t>Meskipun demikian, sejumlah faktor tetap menghambat perusahaan untuk mengungkapkan human capital secara lebih luas dan mendalam. Kajian teoritis mengidentifikasi setidaknya tiga kelompok penjelasan: (1) perspektif biaya kepemilikan (</w:t>
      </w:r>
      <w:r w:rsidRPr="005420D8">
        <w:rPr>
          <w:i/>
        </w:rPr>
        <w:t>proprietary cost</w:t>
      </w:r>
      <w:r>
        <w:t>), yaitu kekhawatiran manajemen bahwa pengungkapan informasi rinci mengenai kompetensi dan strategi pengembangan karyawan dapat dimanfaatkan oleh pesaing atau memicu praktik pembajakan karyawan kunci (</w:t>
      </w:r>
      <w:r w:rsidRPr="005420D8">
        <w:rPr>
          <w:i/>
        </w:rPr>
        <w:t>talent poaching</w:t>
      </w:r>
      <w:r>
        <w:t xml:space="preserve">); (2) perspektif ketiadaan standar, yaitu belum tersedianya pedoman pengukuran dan pengungkapan yang seragam sehingga manajemen kesulitan menentukan format dan cakupan pelaporan yang tepat; dan (3) perspektif insentif regulasi yang lemah, yaitu belum adanya kewajiban hukum yang secara eksplisit mewajibkan pengungkapan human capital secara kuantitatif, sehingga keputusan pengungkapan sepenuhnya bergantung pada pertimbangan manajerial (Samudhram et al., 2010). Faktor-faktor penghambat ini juga sejalan dengan temuan Saad dan Hassan (2013) bahwa motivasi pengungkapan </w:t>
      </w:r>
      <w:r w:rsidRPr="005420D8">
        <w:rPr>
          <w:i/>
        </w:rPr>
        <w:t>human capital</w:t>
      </w:r>
      <w:r>
        <w:t xml:space="preserve"> seringkali lebih didorong oleh kepentingan legitimasi dan citra organisasi dibandingkan oleh kebutuhan akuntabilitas substantif kepada investor, serta dengan temuan Adelowotan (2021) bahwa ketiadaan model penilaian dan pelaporan yang baku menjadi kendala nyata yang dihadapi manajer sumber daya manusia dalam menyusun pengungkapan human capital yang komprehensif.</w:t>
      </w:r>
    </w:p>
    <w:p w:rsidR="00293753" w:rsidRDefault="000821D4">
      <w:pPr>
        <w:spacing w:after="200" w:line="360" w:lineRule="auto"/>
        <w:jc w:val="both"/>
      </w:pPr>
      <w:r>
        <w:t xml:space="preserve">Pada sisi lain, keterkaitan </w:t>
      </w:r>
      <w:r w:rsidRPr="00AE15A7">
        <w:rPr>
          <w:i/>
        </w:rPr>
        <w:t>human capital</w:t>
      </w:r>
      <w:r>
        <w:t xml:space="preserve"> dengan penciptaan nilai perusahaan sesungguhnya bersifat langsung, sebagaimana ditegaskan oleh Firer dan Williams (2005) bahwa struktur kepemilikan perusahaan turut menentukan sejauh mana </w:t>
      </w:r>
      <w:r w:rsidRPr="00C51685">
        <w:rPr>
          <w:i/>
        </w:rPr>
        <w:t>human capital</w:t>
      </w:r>
      <w:r>
        <w:t xml:space="preserve"> diungkapkan sebagai bagian dari strategi menurunkan asimetri informasi, maupun oleh Beattie dan Smith (2010) yang menyoroti bahwa keterkaitan </w:t>
      </w:r>
      <w:r w:rsidRPr="00C51685">
        <w:rPr>
          <w:i/>
        </w:rPr>
        <w:t>human capital</w:t>
      </w:r>
      <w:r>
        <w:t xml:space="preserve"> dengan penciptaan nilai jarang diartikulasikan secara eksplisit dalam laporan tahunan meskipun secara substansi keterkaitan tersebut nyata dan signifikan bagi keberlanjutan kinerja perusahaan.</w:t>
      </w:r>
    </w:p>
    <w:p w:rsidR="00293753" w:rsidRDefault="000821D4">
      <w:pPr>
        <w:spacing w:after="200" w:line="360" w:lineRule="auto"/>
        <w:jc w:val="both"/>
      </w:pPr>
      <w:r>
        <w:t xml:space="preserve">Sintesis atas seluruh temuan mengenai pengungkapan </w:t>
      </w:r>
      <w:r w:rsidRPr="00C51685">
        <w:rPr>
          <w:i/>
        </w:rPr>
        <w:t>human capital</w:t>
      </w:r>
      <w:r>
        <w:t xml:space="preserve"> ini memperlihatkan adanya pola yang cukup konsisten lintas konteks negara dan jenis perusahaan: (1) human capital secara umum menjadi kategori yang paling banyak diungkapkan di antara komponen </w:t>
      </w:r>
      <w:r>
        <w:lastRenderedPageBreak/>
        <w:t>modal intelektual lainnya, tetapi (2) pengungkapan tersebut didominasi bentuk naratif dan kualitatif dibandingkan kuantifikasi moneter, (3) motivasi pengungkapan lebih condong pada kepentingan legitimasi dan pembentukan citra dibandingkan akuntabilitas substantif, dan (4) ketiadaan standar pengukuran yang baku menjadi kendala struktural yang berulang ditemukan di berbagai studi, baik pada konteks negara maju maupun berkembang. Konsistensi pola ini pada gilirannya memperkuat argumen bahwa persoalan pengungkapan human capital bukanlah sekadar persoalan teknis pelaporan pada satu yurisdiksi tertentu, melainkan persoalan struktural yang melekat pada karakteristik human capital itu sendiri sebagai sumber daya yang sulit dipisahkan, diverifikasi, dan dibakukan pengukurannya.</w:t>
      </w:r>
    </w:p>
    <w:p w:rsidR="00293753" w:rsidRPr="00611D55" w:rsidRDefault="000821D4">
      <w:pPr>
        <w:spacing w:after="200" w:line="360" w:lineRule="auto"/>
        <w:jc w:val="center"/>
        <w:rPr>
          <w:i/>
        </w:rPr>
      </w:pPr>
      <w:r>
        <w:rPr>
          <w:b/>
          <w:bCs/>
        </w:rPr>
        <w:t xml:space="preserve">Tabel 2. Faktor Pendorong dan Penghambat Pengungkapan </w:t>
      </w:r>
      <w:r w:rsidRPr="00611D55">
        <w:rPr>
          <w:b/>
          <w:bCs/>
          <w:i/>
        </w:rPr>
        <w:t>Human Capital</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5200"/>
        <w:gridCol w:w="2500"/>
      </w:tblGrid>
      <w:tr w:rsidR="00293753">
        <w:trPr>
          <w:tblHeader/>
        </w:trPr>
        <w:tc>
          <w:tcPr>
            <w:tcW w:w="1800" w:type="dxa"/>
            <w:shd w:val="clear" w:color="auto" w:fill="1F4E79"/>
            <w:tcMar>
              <w:top w:w="80" w:type="dxa"/>
              <w:left w:w="100" w:type="dxa"/>
              <w:bottom w:w="80" w:type="dxa"/>
              <w:right w:w="100" w:type="dxa"/>
            </w:tcMar>
          </w:tcPr>
          <w:p w:rsidR="00293753" w:rsidRDefault="000821D4">
            <w:r>
              <w:rPr>
                <w:b/>
                <w:bCs/>
                <w:color w:val="FFFFFF"/>
                <w:sz w:val="20"/>
                <w:szCs w:val="20"/>
              </w:rPr>
              <w:t>Faktor</w:t>
            </w:r>
          </w:p>
        </w:tc>
        <w:tc>
          <w:tcPr>
            <w:tcW w:w="5200" w:type="dxa"/>
            <w:shd w:val="clear" w:color="auto" w:fill="1F4E79"/>
            <w:tcMar>
              <w:top w:w="80" w:type="dxa"/>
              <w:left w:w="100" w:type="dxa"/>
              <w:bottom w:w="80" w:type="dxa"/>
              <w:right w:w="100" w:type="dxa"/>
            </w:tcMar>
          </w:tcPr>
          <w:p w:rsidR="00293753" w:rsidRDefault="000821D4">
            <w:r>
              <w:rPr>
                <w:b/>
                <w:bCs/>
                <w:color w:val="FFFFFF"/>
                <w:sz w:val="20"/>
                <w:szCs w:val="20"/>
              </w:rPr>
              <w:t>Deskripsi</w:t>
            </w:r>
          </w:p>
        </w:tc>
        <w:tc>
          <w:tcPr>
            <w:tcW w:w="2500" w:type="dxa"/>
            <w:shd w:val="clear" w:color="auto" w:fill="1F4E79"/>
            <w:tcMar>
              <w:top w:w="80" w:type="dxa"/>
              <w:left w:w="100" w:type="dxa"/>
              <w:bottom w:w="80" w:type="dxa"/>
              <w:right w:w="100" w:type="dxa"/>
            </w:tcMar>
          </w:tcPr>
          <w:p w:rsidR="00293753" w:rsidRDefault="000821D4">
            <w:r>
              <w:rPr>
                <w:b/>
                <w:bCs/>
                <w:color w:val="FFFFFF"/>
                <w:sz w:val="20"/>
                <w:szCs w:val="20"/>
              </w:rPr>
              <w:t>Sumber</w:t>
            </w:r>
          </w:p>
        </w:tc>
      </w:tr>
      <w:tr w:rsidR="00293753">
        <w:tc>
          <w:tcPr>
            <w:tcW w:w="1800" w:type="dxa"/>
            <w:tcMar>
              <w:top w:w="80" w:type="dxa"/>
              <w:left w:w="100" w:type="dxa"/>
              <w:bottom w:w="80" w:type="dxa"/>
              <w:right w:w="100" w:type="dxa"/>
            </w:tcMar>
          </w:tcPr>
          <w:p w:rsidR="00293753" w:rsidRDefault="000821D4">
            <w:r>
              <w:rPr>
                <w:sz w:val="19"/>
                <w:szCs w:val="19"/>
              </w:rPr>
              <w:t>Pendorong: Menurunkan asimetri informasi</w:t>
            </w:r>
          </w:p>
        </w:tc>
        <w:tc>
          <w:tcPr>
            <w:tcW w:w="5200" w:type="dxa"/>
            <w:tcMar>
              <w:top w:w="80" w:type="dxa"/>
              <w:left w:w="100" w:type="dxa"/>
              <w:bottom w:w="80" w:type="dxa"/>
              <w:right w:w="100" w:type="dxa"/>
            </w:tcMar>
          </w:tcPr>
          <w:p w:rsidR="00293753" w:rsidRDefault="000821D4">
            <w:r>
              <w:rPr>
                <w:sz w:val="19"/>
                <w:szCs w:val="19"/>
              </w:rPr>
              <w:t>Perusahaan dengan kepemilikan tersebar cenderung mengungkapkan human capital lebih luas untuk meyakinkan investor minoritas</w:t>
            </w:r>
          </w:p>
        </w:tc>
        <w:tc>
          <w:tcPr>
            <w:tcW w:w="2500" w:type="dxa"/>
            <w:tcMar>
              <w:top w:w="80" w:type="dxa"/>
              <w:left w:w="100" w:type="dxa"/>
              <w:bottom w:w="80" w:type="dxa"/>
              <w:right w:w="100" w:type="dxa"/>
            </w:tcMar>
          </w:tcPr>
          <w:p w:rsidR="00293753" w:rsidRDefault="000821D4">
            <w:r>
              <w:rPr>
                <w:sz w:val="19"/>
                <w:szCs w:val="19"/>
              </w:rPr>
              <w:t>Firer &amp; Williams (2005); Bontis (2003)</w:t>
            </w:r>
          </w:p>
        </w:tc>
      </w:tr>
      <w:tr w:rsidR="00293753">
        <w:tc>
          <w:tcPr>
            <w:tcW w:w="1800" w:type="dxa"/>
            <w:tcMar>
              <w:top w:w="80" w:type="dxa"/>
              <w:left w:w="100" w:type="dxa"/>
              <w:bottom w:w="80" w:type="dxa"/>
              <w:right w:w="100" w:type="dxa"/>
            </w:tcMar>
          </w:tcPr>
          <w:p w:rsidR="00293753" w:rsidRDefault="000821D4">
            <w:r>
              <w:rPr>
                <w:sz w:val="19"/>
                <w:szCs w:val="19"/>
              </w:rPr>
              <w:t>Pendorong: Legitimasi &amp; citra employer branding</w:t>
            </w:r>
          </w:p>
        </w:tc>
        <w:tc>
          <w:tcPr>
            <w:tcW w:w="5200" w:type="dxa"/>
            <w:tcMar>
              <w:top w:w="80" w:type="dxa"/>
              <w:left w:w="100" w:type="dxa"/>
              <w:bottom w:w="80" w:type="dxa"/>
              <w:right w:w="100" w:type="dxa"/>
            </w:tcMar>
          </w:tcPr>
          <w:p w:rsidR="00293753" w:rsidRDefault="000821D4">
            <w:r>
              <w:rPr>
                <w:sz w:val="19"/>
                <w:szCs w:val="19"/>
              </w:rPr>
              <w:t>Pengungkapan digunakan untuk membangun citra sebagai pemberi kerja unggul dan memenuhi tekanan legitimasi sosial</w:t>
            </w:r>
          </w:p>
        </w:tc>
        <w:tc>
          <w:tcPr>
            <w:tcW w:w="2500" w:type="dxa"/>
            <w:tcMar>
              <w:top w:w="80" w:type="dxa"/>
              <w:left w:w="100" w:type="dxa"/>
              <w:bottom w:w="80" w:type="dxa"/>
              <w:right w:w="100" w:type="dxa"/>
            </w:tcMar>
          </w:tcPr>
          <w:p w:rsidR="00293753" w:rsidRDefault="000821D4">
            <w:r>
              <w:rPr>
                <w:sz w:val="19"/>
                <w:szCs w:val="19"/>
              </w:rPr>
              <w:t>Saad &amp; Hassan (2013); Duff (2018)</w:t>
            </w:r>
          </w:p>
        </w:tc>
      </w:tr>
      <w:tr w:rsidR="00293753">
        <w:tc>
          <w:tcPr>
            <w:tcW w:w="1800" w:type="dxa"/>
            <w:tcMar>
              <w:top w:w="80" w:type="dxa"/>
              <w:left w:w="100" w:type="dxa"/>
              <w:bottom w:w="80" w:type="dxa"/>
              <w:right w:w="100" w:type="dxa"/>
            </w:tcMar>
          </w:tcPr>
          <w:p w:rsidR="00293753" w:rsidRDefault="000821D4">
            <w:r>
              <w:rPr>
                <w:sz w:val="19"/>
                <w:szCs w:val="19"/>
              </w:rPr>
              <w:t>Pendorong: Relevansi nilai bagi investor</w:t>
            </w:r>
          </w:p>
        </w:tc>
        <w:tc>
          <w:tcPr>
            <w:tcW w:w="5200" w:type="dxa"/>
            <w:tcMar>
              <w:top w:w="80" w:type="dxa"/>
              <w:left w:w="100" w:type="dxa"/>
              <w:bottom w:w="80" w:type="dxa"/>
              <w:right w:w="100" w:type="dxa"/>
            </w:tcMar>
          </w:tcPr>
          <w:p w:rsidR="00293753" w:rsidRDefault="000821D4">
            <w:r>
              <w:rPr>
                <w:sz w:val="19"/>
                <w:szCs w:val="19"/>
              </w:rPr>
              <w:t>Human capital dipandang sebagai sumber daya kunci penciptaan nilai jangka panjang perusahaan</w:t>
            </w:r>
          </w:p>
        </w:tc>
        <w:tc>
          <w:tcPr>
            <w:tcW w:w="2500" w:type="dxa"/>
            <w:tcMar>
              <w:top w:w="80" w:type="dxa"/>
              <w:left w:w="100" w:type="dxa"/>
              <w:bottom w:w="80" w:type="dxa"/>
              <w:right w:w="100" w:type="dxa"/>
            </w:tcMar>
          </w:tcPr>
          <w:p w:rsidR="00293753" w:rsidRDefault="000821D4">
            <w:r>
              <w:rPr>
                <w:sz w:val="19"/>
                <w:szCs w:val="19"/>
              </w:rPr>
              <w:t>Beattie &amp; Smith (2010)</w:t>
            </w:r>
          </w:p>
        </w:tc>
      </w:tr>
      <w:tr w:rsidR="00293753">
        <w:tc>
          <w:tcPr>
            <w:tcW w:w="1800" w:type="dxa"/>
            <w:tcMar>
              <w:top w:w="80" w:type="dxa"/>
              <w:left w:w="100" w:type="dxa"/>
              <w:bottom w:w="80" w:type="dxa"/>
              <w:right w:w="100" w:type="dxa"/>
            </w:tcMar>
          </w:tcPr>
          <w:p w:rsidR="00293753" w:rsidRDefault="000821D4">
            <w:r>
              <w:rPr>
                <w:sz w:val="19"/>
                <w:szCs w:val="19"/>
              </w:rPr>
              <w:t>Penghambat: Biaya kepemilikan (proprietary cost)</w:t>
            </w:r>
          </w:p>
        </w:tc>
        <w:tc>
          <w:tcPr>
            <w:tcW w:w="5200" w:type="dxa"/>
            <w:tcMar>
              <w:top w:w="80" w:type="dxa"/>
              <w:left w:w="100" w:type="dxa"/>
              <w:bottom w:w="80" w:type="dxa"/>
              <w:right w:w="100" w:type="dxa"/>
            </w:tcMar>
          </w:tcPr>
          <w:p w:rsidR="00293753" w:rsidRDefault="000821D4">
            <w:r>
              <w:rPr>
                <w:sz w:val="19"/>
                <w:szCs w:val="19"/>
              </w:rPr>
              <w:t>Kekhawatiran informasi kompetensi karyawan dimanfaatkan pesaing atau memicu talent poaching</w:t>
            </w:r>
          </w:p>
        </w:tc>
        <w:tc>
          <w:tcPr>
            <w:tcW w:w="2500" w:type="dxa"/>
            <w:tcMar>
              <w:top w:w="80" w:type="dxa"/>
              <w:left w:w="100" w:type="dxa"/>
              <w:bottom w:w="80" w:type="dxa"/>
              <w:right w:w="100" w:type="dxa"/>
            </w:tcMar>
          </w:tcPr>
          <w:p w:rsidR="00293753" w:rsidRDefault="000821D4">
            <w:r>
              <w:rPr>
                <w:sz w:val="19"/>
                <w:szCs w:val="19"/>
              </w:rPr>
              <w:t>Samudhram et al. (2010)</w:t>
            </w:r>
          </w:p>
        </w:tc>
      </w:tr>
      <w:tr w:rsidR="00293753">
        <w:tc>
          <w:tcPr>
            <w:tcW w:w="1800" w:type="dxa"/>
            <w:tcMar>
              <w:top w:w="80" w:type="dxa"/>
              <w:left w:w="100" w:type="dxa"/>
              <w:bottom w:w="80" w:type="dxa"/>
              <w:right w:w="100" w:type="dxa"/>
            </w:tcMar>
          </w:tcPr>
          <w:p w:rsidR="00293753" w:rsidRDefault="000821D4">
            <w:r>
              <w:rPr>
                <w:sz w:val="19"/>
                <w:szCs w:val="19"/>
              </w:rPr>
              <w:t>Penghambat: Ketiadaan standar baku</w:t>
            </w:r>
          </w:p>
        </w:tc>
        <w:tc>
          <w:tcPr>
            <w:tcW w:w="5200" w:type="dxa"/>
            <w:tcMar>
              <w:top w:w="80" w:type="dxa"/>
              <w:left w:w="100" w:type="dxa"/>
              <w:bottom w:w="80" w:type="dxa"/>
              <w:right w:w="100" w:type="dxa"/>
            </w:tcMar>
          </w:tcPr>
          <w:p w:rsidR="00293753" w:rsidRDefault="000821D4">
            <w:r>
              <w:rPr>
                <w:sz w:val="19"/>
                <w:szCs w:val="19"/>
              </w:rPr>
              <w:t>Belum tersedia model penilaian dan pelaporan human capital yang seragam dan diakui luas</w:t>
            </w:r>
          </w:p>
        </w:tc>
        <w:tc>
          <w:tcPr>
            <w:tcW w:w="2500" w:type="dxa"/>
            <w:tcMar>
              <w:top w:w="80" w:type="dxa"/>
              <w:left w:w="100" w:type="dxa"/>
              <w:bottom w:w="80" w:type="dxa"/>
              <w:right w:w="100" w:type="dxa"/>
            </w:tcMar>
          </w:tcPr>
          <w:p w:rsidR="00293753" w:rsidRDefault="000821D4">
            <w:r>
              <w:rPr>
                <w:sz w:val="19"/>
                <w:szCs w:val="19"/>
              </w:rPr>
              <w:t>Adelowotan (2021); Samudhram et al. (2010)</w:t>
            </w:r>
          </w:p>
        </w:tc>
      </w:tr>
      <w:tr w:rsidR="00293753">
        <w:tc>
          <w:tcPr>
            <w:tcW w:w="1800" w:type="dxa"/>
            <w:tcMar>
              <w:top w:w="80" w:type="dxa"/>
              <w:left w:w="100" w:type="dxa"/>
              <w:bottom w:w="80" w:type="dxa"/>
              <w:right w:w="100" w:type="dxa"/>
            </w:tcMar>
          </w:tcPr>
          <w:p w:rsidR="00293753" w:rsidRDefault="000821D4">
            <w:r>
              <w:rPr>
                <w:sz w:val="19"/>
                <w:szCs w:val="19"/>
              </w:rPr>
              <w:t>Penghambat: Insentif regulasi lemah</w:t>
            </w:r>
          </w:p>
        </w:tc>
        <w:tc>
          <w:tcPr>
            <w:tcW w:w="5200" w:type="dxa"/>
            <w:tcMar>
              <w:top w:w="80" w:type="dxa"/>
              <w:left w:w="100" w:type="dxa"/>
              <w:bottom w:w="80" w:type="dxa"/>
              <w:right w:w="100" w:type="dxa"/>
            </w:tcMar>
          </w:tcPr>
          <w:p w:rsidR="00293753" w:rsidRDefault="000821D4">
            <w:r>
              <w:rPr>
                <w:sz w:val="19"/>
                <w:szCs w:val="19"/>
              </w:rPr>
              <w:t>Belum ada kewajiban hukum eksplisit yang mewajibkan pengungkapan human capital secara kuantitatif</w:t>
            </w:r>
          </w:p>
        </w:tc>
        <w:tc>
          <w:tcPr>
            <w:tcW w:w="2500" w:type="dxa"/>
            <w:tcMar>
              <w:top w:w="80" w:type="dxa"/>
              <w:left w:w="100" w:type="dxa"/>
              <w:bottom w:w="80" w:type="dxa"/>
              <w:right w:w="100" w:type="dxa"/>
            </w:tcMar>
          </w:tcPr>
          <w:p w:rsidR="00293753" w:rsidRDefault="000821D4">
            <w:r>
              <w:rPr>
                <w:sz w:val="19"/>
                <w:szCs w:val="19"/>
              </w:rPr>
              <w:t>Samudhram et al. (2010)</w:t>
            </w:r>
          </w:p>
        </w:tc>
      </w:tr>
    </w:tbl>
    <w:p w:rsidR="00293753" w:rsidRDefault="00293753">
      <w:pPr>
        <w:spacing w:after="200"/>
      </w:pPr>
    </w:p>
    <w:p w:rsidR="00293753" w:rsidRDefault="000821D4">
      <w:pPr>
        <w:spacing w:after="200" w:line="360" w:lineRule="auto"/>
        <w:jc w:val="both"/>
      </w:pPr>
      <w:r>
        <w:t xml:space="preserve">Sebagaimana dirangkum pada Tabel 2, faktor pendorong pengungkapan </w:t>
      </w:r>
      <w:r w:rsidRPr="00C51685">
        <w:rPr>
          <w:i/>
        </w:rPr>
        <w:t>human capital</w:t>
      </w:r>
      <w:r>
        <w:t xml:space="preserve"> umumnya bersumber dari kebutuhan menurunkan asimetri informasi dan membangun legitimasi maupun citra organisasi, sementara faktor penghambat lebih banyak bersumber dari kekhawatiran kompetitif dan ketiadaan infrastruktur pengukuran yang baku. Pola pertentangan </w:t>
      </w:r>
      <w:r w:rsidRPr="00C51685">
        <w:rPr>
          <w:i/>
        </w:rPr>
        <w:t>(tension</w:t>
      </w:r>
      <w:r>
        <w:t xml:space="preserve">) antara dorongan dan hambatan inilah yang pada akhirnya menjelaskan mengapa pengungkapan human capital, meskipun secara konsisten menjadi kategori pengungkapan modal intelektual yang paling banyak dilaporkan, tetap berada pada </w:t>
      </w:r>
      <w:r>
        <w:lastRenderedPageBreak/>
        <w:t>level yang jauh dari komprehensif dan sulit diperbandingkan secara sistematis antarperusahaan maupun antarnegara.</w:t>
      </w:r>
    </w:p>
    <w:p w:rsidR="00293753" w:rsidRDefault="000821D4">
      <w:pPr>
        <w:pStyle w:val="Heading2"/>
        <w:spacing w:before="320" w:after="160"/>
      </w:pPr>
      <w:r>
        <w:rPr>
          <w:b/>
          <w:bCs/>
          <w:sz w:val="24"/>
          <w:szCs w:val="24"/>
        </w:rPr>
        <w:t xml:space="preserve">4.4 Tantangan Implementasi Akuntansi </w:t>
      </w:r>
      <w:r w:rsidRPr="00C51685">
        <w:rPr>
          <w:b/>
          <w:bCs/>
          <w:i/>
          <w:sz w:val="24"/>
          <w:szCs w:val="24"/>
        </w:rPr>
        <w:t>Human Capital</w:t>
      </w:r>
      <w:r>
        <w:rPr>
          <w:b/>
          <w:bCs/>
          <w:sz w:val="24"/>
          <w:szCs w:val="24"/>
        </w:rPr>
        <w:t xml:space="preserve"> di Indonesia</w:t>
      </w:r>
    </w:p>
    <w:p w:rsidR="00293753" w:rsidRDefault="000821D4">
      <w:pPr>
        <w:spacing w:after="200" w:line="360" w:lineRule="auto"/>
        <w:jc w:val="both"/>
      </w:pPr>
      <w:r>
        <w:t>Dalam konteks Indonesia, kajian kritis terhadap perkembangan akuntansi sumber daya manusia menunjukkan bahwa penerapan konsep ini pada praktik dunia usaha masih bersifat parsial dan lebih banyak digunakan sebagai alat analisis manajerial internal dibandingkan sebagai bagian resmi dari pelaporan keuangan eksternal (Go &amp; Mardatillah, 2024). Standar Akuntansi Keuangan (SAK) yang berlaku di Indonesia, sebagaimana konvergensi dengan standar akuntansi internasional pada umumnya, tetap mensyaratkan kriteria pengendalian dan keandalan pengukuran sebagai prasyarat pengakuan aset, sehingga human capital tetap berada di luar batas pengakuan neraca formal.</w:t>
      </w:r>
    </w:p>
    <w:p w:rsidR="00293753" w:rsidRDefault="000821D4">
      <w:pPr>
        <w:spacing w:after="200" w:line="360" w:lineRule="auto"/>
        <w:jc w:val="both"/>
      </w:pPr>
      <w:r>
        <w:t>Tantangan lain yang teridentifikasi dari sintesis literatur adalah kesenjangan antara kebutuhan informasi pengguna laporan keuangan</w:t>
      </w:r>
      <w:r w:rsidR="00C51685">
        <w:t xml:space="preserve"> </w:t>
      </w:r>
      <w:r>
        <w:t>khususnya investor yang semakin memperhitungkan kualitas sumber daya manusia sebagai indikator keberlanjutan kinerja perusahaan</w:t>
      </w:r>
      <w:r w:rsidR="00C51685">
        <w:t xml:space="preserve"> </w:t>
      </w:r>
      <w:r>
        <w:t>dan ketersediaan informasi yang dapat diperbandingkan secara sistematis. Ketiadaan kerangka pengungkapan yang terstandardisasi menyebabkan investor kesulitan membandingkan kualitas human capital antarperusahaan hanya berdasarkan laporan tahunan yang formatnya sangat beragam. Kondisi inilah yang membuka ruang bagi pengembangan kerangka pelaporan human capital yang lebih terstruktur di masa depan, baik melalui inisiatif badan penyusun standar akuntansi maupun melalui praktik pelaporan sukarela yang lebih terstandardisasi oleh asosiasi profesi maupun bursa efek.</w:t>
      </w:r>
    </w:p>
    <w:p w:rsidR="00293753" w:rsidRDefault="000821D4">
      <w:pPr>
        <w:spacing w:after="200" w:line="360" w:lineRule="auto"/>
        <w:jc w:val="both"/>
      </w:pPr>
      <w:r>
        <w:t xml:space="preserve">Tantangan implementasi ini juga bersifat berlapis, mulai dari tataran regulasi, tataran organisasi, hingga tataran individu penyusun laporan keuangan. Pada tataran regulasi, ketiadaan pedoman teknis resmi dari badan penyusun standar akuntansi di Indonesia mengenai perlakuan human capital menyebabkan setiap entitas menafsirkan dan menerapkan konsep akuntansi sumber daya manusia secara berbeda-beda, sebagaimana ditunjukkan oleh variasi praktik yang ditemukan Darma (2020). Pada tataran organisasi, penerapan akuntansi sumber daya manusia menuntut kapasitas sistem informasi dan kompetensi sumber daya manusia di bagian akuntansi dan keuangan yang memadai untuk mengumpulkan, mengolah, dan menyajikan data non-keuangan mengenai karyawan secara konsisten, yang tidak selalu tersedia terutama pada perusahaan skala kecil dan menengah. Pada tataran individu, penyusun laporan keuangan seringkali menghadapi dilema antara </w:t>
      </w:r>
      <w:r>
        <w:lastRenderedPageBreak/>
        <w:t>kepatuhan terhadap SAK yang berlaku</w:t>
      </w:r>
      <w:r w:rsidR="00C51685">
        <w:t xml:space="preserve"> </w:t>
      </w:r>
      <w:r>
        <w:t>yang tidak mengizinkan kapitalisasi biaya sumber daya manusia</w:t>
      </w:r>
      <w:r w:rsidR="00C51685">
        <w:t xml:space="preserve"> </w:t>
      </w:r>
      <w:r>
        <w:t>dan keinginan untuk menyajikan informasi yang lebih mencerminkan substansi ekonomi perusahaan kepada pengguna laporan.</w:t>
      </w:r>
    </w:p>
    <w:p w:rsidR="00293753" w:rsidRDefault="000821D4">
      <w:pPr>
        <w:spacing w:after="200" w:line="360" w:lineRule="auto"/>
        <w:jc w:val="both"/>
      </w:pPr>
      <w:r>
        <w:t>Meskipun demikian, terdapat sejumlah perkembangan positif yang dapat menjadi titik tolak perbaikan ke depan. Semakin banyak entitas di Indonesia, khususnya perusahaan publik dan badan usaha milik negara, yang mulai menyertakan informasi non-keuangan mengenai sumber daya manusia</w:t>
      </w:r>
      <w:r w:rsidR="00C51685">
        <w:t xml:space="preserve"> </w:t>
      </w:r>
      <w:r>
        <w:t>seperti data pelatihan, tingkat retensi karyawan, dan program pengembangan kompetensi</w:t>
      </w:r>
      <w:r w:rsidR="00C51685">
        <w:t xml:space="preserve"> </w:t>
      </w:r>
      <w:r>
        <w:t xml:space="preserve">dalam laporan tahunan maupun laporan keberlanjutan mereka, meskipun belum diwajibkan secara eksplisit oleh regulator. </w:t>
      </w:r>
      <w:r w:rsidRPr="00C51685">
        <w:rPr>
          <w:i/>
        </w:rPr>
        <w:t>Tren</w:t>
      </w:r>
      <w:r>
        <w:t xml:space="preserve"> ini sejalan dengan perkembangan praktik pelaporan terintegrasi (</w:t>
      </w:r>
      <w:r w:rsidRPr="00C51685">
        <w:rPr>
          <w:i/>
        </w:rPr>
        <w:t>integrated reporting</w:t>
      </w:r>
      <w:r>
        <w:t>) secara global, yang menekankan pentingnya pengungkapan berbagai jenis modal</w:t>
      </w:r>
      <w:r w:rsidR="00C51685">
        <w:t xml:space="preserve"> </w:t>
      </w:r>
      <w:r>
        <w:t>termasuk human capital—sebagai bagian dari narasi penciptaan nilai perusahaan secara menyeluruh.</w:t>
      </w:r>
    </w:p>
    <w:p w:rsidR="00293753" w:rsidRDefault="000821D4">
      <w:pPr>
        <w:pStyle w:val="Heading2"/>
        <w:spacing w:before="320" w:after="160"/>
      </w:pPr>
      <w:r>
        <w:rPr>
          <w:b/>
          <w:bCs/>
          <w:sz w:val="24"/>
          <w:szCs w:val="24"/>
        </w:rPr>
        <w:t xml:space="preserve">4.5 </w:t>
      </w:r>
      <w:r w:rsidRPr="001A7347">
        <w:rPr>
          <w:b/>
          <w:bCs/>
          <w:i/>
          <w:sz w:val="24"/>
          <w:szCs w:val="24"/>
        </w:rPr>
        <w:t>Human Capital</w:t>
      </w:r>
      <w:r>
        <w:rPr>
          <w:b/>
          <w:bCs/>
          <w:sz w:val="24"/>
          <w:szCs w:val="24"/>
        </w:rPr>
        <w:t xml:space="preserve"> pada Konteks Akademisi Akuntansi</w:t>
      </w:r>
    </w:p>
    <w:p w:rsidR="00293753" w:rsidRDefault="000821D4">
      <w:pPr>
        <w:spacing w:after="200" w:line="360" w:lineRule="auto"/>
        <w:jc w:val="both"/>
      </w:pPr>
      <w:r>
        <w:t xml:space="preserve">Temuan pada literatur yang meneliti </w:t>
      </w:r>
      <w:r w:rsidRPr="001A7347">
        <w:rPr>
          <w:i/>
        </w:rPr>
        <w:t>human capital</w:t>
      </w:r>
      <w:r>
        <w:t xml:space="preserve"> di kalangan dosen akuntansi memperkuat argumen bahwa persoalan </w:t>
      </w:r>
      <w:r w:rsidRPr="001A7347">
        <w:rPr>
          <w:i/>
        </w:rPr>
        <w:t>human capital</w:t>
      </w:r>
      <w:r>
        <w:t xml:space="preserve"> tidak terbatas pada konteks korporasi, melainkan juga relevan bagi institusi pendidikan tinggi sebagai penghasil dan pengelola modal manusia. Rudiyanto dan Sutisna (2022) secara empiris membuktikan bahwa </w:t>
      </w:r>
      <w:r w:rsidRPr="001A7347">
        <w:rPr>
          <w:i/>
        </w:rPr>
        <w:t>academics human capital</w:t>
      </w:r>
      <w:r>
        <w:t xml:space="preserve"> berkontribusi besar terhadap kinerja dosen akuntansi</w:t>
      </w:r>
      <w:r w:rsidR="001A7347">
        <w:t xml:space="preserve"> </w:t>
      </w:r>
      <w:r>
        <w:t xml:space="preserve">dengan total pengaruh sebesar 74,80 persen terhadap kinerja dosen akuntansi pada perguruan tinggi di Provinsi Banten. Kontribusi tersebut berasal dari lima dimensi </w:t>
      </w:r>
      <w:r w:rsidRPr="001A7347">
        <w:rPr>
          <w:i/>
        </w:rPr>
        <w:t>academics human capital</w:t>
      </w:r>
      <w:r>
        <w:t>, yaitu pengetahuan (</w:t>
      </w:r>
      <w:r w:rsidRPr="001A7347">
        <w:rPr>
          <w:i/>
        </w:rPr>
        <w:t>knowledge</w:t>
      </w:r>
      <w:r>
        <w:t>) sebesar 16,32 persen, keterampilan (</w:t>
      </w:r>
      <w:r w:rsidRPr="001A7347">
        <w:rPr>
          <w:i/>
        </w:rPr>
        <w:t>competency</w:t>
      </w:r>
      <w:r>
        <w:t>) sebesar 16,53 persen, kapasitas dinamis (</w:t>
      </w:r>
      <w:r w:rsidRPr="001A7347">
        <w:rPr>
          <w:i/>
        </w:rPr>
        <w:t>dynamic capacity</w:t>
      </w:r>
      <w:r>
        <w:t>) sebesar 7,97 persen, kapasitas kerja (</w:t>
      </w:r>
      <w:r w:rsidRPr="001A7347">
        <w:rPr>
          <w:i/>
        </w:rPr>
        <w:t>working capacity</w:t>
      </w:r>
      <w:r>
        <w:t>) sebesar 8,03 persen, dan kapasitas kritis (</w:t>
      </w:r>
      <w:r w:rsidRPr="001A7347">
        <w:rPr>
          <w:i/>
        </w:rPr>
        <w:t>critic capacity</w:t>
      </w:r>
      <w:r>
        <w:t>) sebesar 25,92 persen sebagai dimensi paling dominan.</w:t>
      </w:r>
    </w:p>
    <w:p w:rsidR="00293753" w:rsidRDefault="000821D4">
      <w:pPr>
        <w:spacing w:after="200" w:line="360" w:lineRule="auto"/>
        <w:jc w:val="both"/>
      </w:pPr>
      <w:r>
        <w:t xml:space="preserve">Besarnya kontribusi dimensi kapasitas kritis dibandingkan dimensi lainnya mengindikasikan bahwa kemampuan berpikir analitis, reflektif, dan evaluatif menjadi unsur </w:t>
      </w:r>
      <w:r w:rsidRPr="001A7347">
        <w:rPr>
          <w:i/>
        </w:rPr>
        <w:t>human capital</w:t>
      </w:r>
      <w:r>
        <w:t xml:space="preserve"> yang paling menentukan produktivitas akademik dosen akuntansi, melampaui sekadar penguasaan pengetahuan teknis (</w:t>
      </w:r>
      <w:r w:rsidRPr="001A7347">
        <w:rPr>
          <w:i/>
        </w:rPr>
        <w:t>knowledge</w:t>
      </w:r>
      <w:r>
        <w:t>) maupun keterampilan (</w:t>
      </w:r>
      <w:r w:rsidRPr="001A7347">
        <w:rPr>
          <w:i/>
        </w:rPr>
        <w:t>competency</w:t>
      </w:r>
      <w:r>
        <w:t xml:space="preserve">) semata. Temuan ini memiliki implikasi penting bagi pengelolaan sumber daya manusia di perguruan tinggi: pengembangan human capital dosen akuntansi idealnya tidak hanya berfokus pada pelatihan teknis dan sertifikasi keahlian, tetapi juga perlu memberi ruang yang memadai bagi pengembangan kapasitas berpikir kritis, misalnya melalui keterlibatan dalam diskusi ilmiah, </w:t>
      </w:r>
      <w:r>
        <w:lastRenderedPageBreak/>
        <w:t>kolaborasi riset lintas institusi, dan budaya akademik yang mendorong pertukaran gagasan secara terbuka.</w:t>
      </w:r>
    </w:p>
    <w:p w:rsidR="00293753" w:rsidRDefault="000821D4">
      <w:pPr>
        <w:spacing w:after="200" w:line="360" w:lineRule="auto"/>
        <w:jc w:val="both"/>
      </w:pPr>
      <w:r>
        <w:t xml:space="preserve">Sejalan dengan temuan tersebut, Trisnaningsih (2011) mengidentifikasi bahwa kinerja dosen akuntansi dipengaruhi oleh komitmen organisasional, komitmen profesional, dan motivasi kerja, yang pada dasarnya merupakan bagian dari dimensi non-kognitif </w:t>
      </w:r>
      <w:r w:rsidRPr="001A7347">
        <w:rPr>
          <w:i/>
        </w:rPr>
        <w:t>human capital</w:t>
      </w:r>
      <w:r>
        <w:t xml:space="preserve"> yang turut menentukan bagaimana kapasitas kognitif dosen (pengetahuan dan keterampilan) termanifestasi menjadi kinerja nyata. Dengan kata lain, akumulasi pengetahuan dan keterampilan semata tidak secara otomatis menghasilkan kinerja optimal tanpa disertai komitmen dan motivasi yang memadai</w:t>
      </w:r>
      <w:r w:rsidR="001A7347">
        <w:t xml:space="preserve"> </w:t>
      </w:r>
      <w:r>
        <w:t xml:space="preserve">sebuah temuan yang selaras dengan pandangan bahwa </w:t>
      </w:r>
      <w:r w:rsidRPr="001A7347">
        <w:rPr>
          <w:i/>
        </w:rPr>
        <w:t>human capital</w:t>
      </w:r>
      <w:r>
        <w:t xml:space="preserve"> merupakan sumber daya yang muncul (</w:t>
      </w:r>
      <w:r w:rsidRPr="001A7347">
        <w:rPr>
          <w:i/>
        </w:rPr>
        <w:t>emerge)</w:t>
      </w:r>
      <w:r>
        <w:t xml:space="preserve"> melalui interaksi atribut individu dengan konteks organisasi, sebagaimana dikemukakan Ployhart dan Moliterno (2011) pada tataran teori yang lebih umum. Kajian lain oleh Permana, Yuniarsih, Ahman, Wibowo, dan Wiyono (2022) menunjukkan bahwa pengembangan human capital melalui pelatihan dan penguatan modal intelektual dosen berkontribusi terhadap perbaikan perilaku kerja dan kinerja tridarma dosen, mencakup aspek pendidikan dan pengajaran, penelitian dan publikasi ilmiah, serta pengabdian kepada masyarakat.</w:t>
      </w:r>
    </w:p>
    <w:p w:rsidR="00293753" w:rsidRDefault="000821D4">
      <w:pPr>
        <w:spacing w:after="200" w:line="360" w:lineRule="auto"/>
        <w:jc w:val="both"/>
      </w:pPr>
      <w:r>
        <w:t xml:space="preserve">Ketiga kajian ini secara konsisten menegaskan bahwa </w:t>
      </w:r>
      <w:r w:rsidRPr="001A7347">
        <w:rPr>
          <w:i/>
        </w:rPr>
        <w:t>human capital</w:t>
      </w:r>
      <w:r>
        <w:t xml:space="preserve"> di lingkungan akademik</w:t>
      </w:r>
      <w:r w:rsidR="001A7347">
        <w:t xml:space="preserve"> </w:t>
      </w:r>
      <w:r>
        <w:t>termasuk akademisi akuntansi</w:t>
      </w:r>
      <w:r w:rsidR="001A7347">
        <w:t xml:space="preserve"> </w:t>
      </w:r>
      <w:r>
        <w:t xml:space="preserve">merupakan sumber daya strategis yang menentukan kualitas dan keberlanjutan institusi pendidikan tinggi, sekaligus memperkuat relevansi pengembangan kerangka pengukuran dan pengungkapan human capital yang tidak hanya berlaku pada konteks korporasi, tetapi juga pada konteks organisasi nirlaba dan institusi pendidikan. Implikasinya, kerangka akuntansi </w:t>
      </w:r>
      <w:r w:rsidRPr="001A7347">
        <w:rPr>
          <w:i/>
        </w:rPr>
        <w:t>human capital</w:t>
      </w:r>
      <w:r>
        <w:t xml:space="preserve"> yang selama ini berorientasi pada konteks korporasi perlu diperluas cakupannya untuk turut mengakomodasi konteks institusi pendidikan tinggi, mengingat perguruan tinggi</w:t>
      </w:r>
      <w:r w:rsidR="001A7347">
        <w:t xml:space="preserve"> </w:t>
      </w:r>
      <w:r>
        <w:t>t</w:t>
      </w:r>
      <w:r w:rsidR="001A7347">
        <w:t xml:space="preserve">ermasuk program studi akuntansi </w:t>
      </w:r>
      <w:r>
        <w:t xml:space="preserve">pada dasarnya merupakan organisasi yang sangat bergantung pada kualitas </w:t>
      </w:r>
      <w:r w:rsidRPr="001A7347">
        <w:rPr>
          <w:i/>
        </w:rPr>
        <w:t>human capital</w:t>
      </w:r>
      <w:r>
        <w:t xml:space="preserve"> pengajarnya sebagai sumber utama reputasi, mutu lulusan, dan produktivitas keilmuan. Sebagaimana ditegaskan pula oleh Pasanda (2025), penguatan </w:t>
      </w:r>
      <w:r w:rsidRPr="001A7347">
        <w:rPr>
          <w:i/>
        </w:rPr>
        <w:t>human capital</w:t>
      </w:r>
      <w:r>
        <w:t xml:space="preserve"> di ranah akademik idealnya tidak hanya berorientasi pada peningkatan kompetensi teknis dan akademik semata, tetapi juga diiringi penguatan nilai etika dan karakter, sehingga akademisi akuntansi yang dihasilkan tidak hanya kompeten secara keilmuan, tetapi juga berintegritas tinggi sesuai tuntutan profesi akuntansi.</w:t>
      </w:r>
    </w:p>
    <w:p w:rsidR="00293753" w:rsidRDefault="000821D4">
      <w:pPr>
        <w:pStyle w:val="Heading2"/>
        <w:spacing w:before="320" w:after="160"/>
      </w:pPr>
      <w:r>
        <w:rPr>
          <w:b/>
          <w:bCs/>
          <w:sz w:val="24"/>
          <w:szCs w:val="24"/>
        </w:rPr>
        <w:t>4.6 Sintesis Temuan dan Implikasi T</w:t>
      </w:r>
      <w:r w:rsidR="00611D55">
        <w:rPr>
          <w:b/>
          <w:bCs/>
          <w:sz w:val="24"/>
          <w:szCs w:val="24"/>
        </w:rPr>
        <w:t xml:space="preserve">eoretis </w:t>
      </w:r>
      <w:r>
        <w:rPr>
          <w:b/>
          <w:bCs/>
          <w:sz w:val="24"/>
          <w:szCs w:val="24"/>
        </w:rPr>
        <w:t>Praktis</w:t>
      </w:r>
    </w:p>
    <w:p w:rsidR="00293753" w:rsidRDefault="000821D4">
      <w:pPr>
        <w:spacing w:after="200" w:line="360" w:lineRule="auto"/>
        <w:jc w:val="both"/>
      </w:pPr>
      <w:r>
        <w:lastRenderedPageBreak/>
        <w:t xml:space="preserve">Secara keseluruhan, temuan-temuan pada subbagian 4.1 hingga 4.5 membentuk satu benang merah yang saling terkait. Ketiadaan pengakuan formal </w:t>
      </w:r>
      <w:r w:rsidRPr="001A7347">
        <w:rPr>
          <w:i/>
        </w:rPr>
        <w:t>human capital</w:t>
      </w:r>
      <w:r>
        <w:t xml:space="preserve"> sebagai aset (4.1) mendorong berkembangnya beragam model pengukuran alternatif di luar neraca (4.2), yang pada gilirannya menjadi basis bagi praktik pengungkapan sukarela dengan segala keterbatasannya (4.3). Pada tataran negara berkembang seperti Indonesia, keterbatasan tersebut diperparah oleh ketiadaan pedoman teknis resmi dan kesenjangan kapasitas organisasi (4.4), sementara pada tataran individu</w:t>
      </w:r>
      <w:r w:rsidR="001A7347">
        <w:t xml:space="preserve"> </w:t>
      </w:r>
      <w:r>
        <w:t xml:space="preserve">termasuk akademisi akuntansi sebagai salah satu kelompok pemegang </w:t>
      </w:r>
      <w:r w:rsidRPr="001A7347">
        <w:rPr>
          <w:i/>
        </w:rPr>
        <w:t>human capital</w:t>
      </w:r>
      <w:r w:rsidR="001A7347">
        <w:rPr>
          <w:i/>
        </w:rPr>
        <w:t xml:space="preserve"> </w:t>
      </w:r>
      <w:r>
        <w:t xml:space="preserve">kualitas </w:t>
      </w:r>
      <w:r w:rsidRPr="001A7347">
        <w:rPr>
          <w:i/>
        </w:rPr>
        <w:t>human capital</w:t>
      </w:r>
      <w:r>
        <w:t xml:space="preserve"> tetap terbukti menjadi determinan kinerja yang signifikan meskipun tidak pernah tercatat dalam pembukuan formal mana pun (4.5).</w:t>
      </w:r>
    </w:p>
    <w:p w:rsidR="00293753" w:rsidRDefault="000821D4">
      <w:pPr>
        <w:spacing w:after="200" w:line="360" w:lineRule="auto"/>
        <w:jc w:val="both"/>
      </w:pPr>
      <w:r>
        <w:t xml:space="preserve">Dari sisi teoretis, sintesis ini menegaskan bahwa akuntansi </w:t>
      </w:r>
      <w:r w:rsidRPr="001A7347">
        <w:rPr>
          <w:i/>
        </w:rPr>
        <w:t>human capital</w:t>
      </w:r>
      <w:r>
        <w:t xml:space="preserve"> berada pada persimpangan antara tiga perspektif yang saling bertautan: perspektif kerangka konseptual akuntansi (</w:t>
      </w:r>
      <w:r w:rsidRPr="001A7347">
        <w:rPr>
          <w:i/>
        </w:rPr>
        <w:t>accounting conceptual framework</w:t>
      </w:r>
      <w:r>
        <w:t>), yang menekankan kriteria pengakuan aset berbasis kendali dan keandalan pengukuran; perspektif ekonomi sumber daya manusia (</w:t>
      </w:r>
      <w:r w:rsidRPr="001A7347">
        <w:rPr>
          <w:i/>
        </w:rPr>
        <w:t>human capital theory</w:t>
      </w:r>
      <w:r>
        <w:t>), yang menekankan sifat human capital sebagai investasi penghasil manfaat ekonomi masa depan; dan perspektif keperilakuan organisasi (</w:t>
      </w:r>
      <w:r w:rsidRPr="001A7347">
        <w:rPr>
          <w:i/>
        </w:rPr>
        <w:t>organizational behavior</w:t>
      </w:r>
      <w:r>
        <w:t>), yang menekankan bagaimana atribut individu bertransformasi menjadi sumber daya kolektif melalui proses emergensi di tingkat unit kerja (Ployhart &amp; Moliterno, 2011). Ketegangan di antara ketiga perspektif inilah yang menjelaskan mengapa akuntansi human capital, meski telah dikaji sejak lebih dari lima dekade silam, belum kunjung menghasilkan satu kerangka pengakuan dan pengukuran yang diterima secara universal.</w:t>
      </w:r>
    </w:p>
    <w:p w:rsidR="00293753" w:rsidRDefault="000821D4">
      <w:pPr>
        <w:spacing w:after="200" w:line="360" w:lineRule="auto"/>
        <w:jc w:val="both"/>
      </w:pPr>
      <w:r>
        <w:t>Dari sisi praktis, sintesis ini memberikan implikasi bagi setidaknya empat kelompok pemangku kepentingan. Bagi badan penyusun standar akuntansi, temuan ini menegaskan perlunya kajian lebih lanjut mengenai kemungkinan pengembangan pedoman pengungkapan human capital yang bersifat wajib minimal (</w:t>
      </w:r>
      <w:r w:rsidRPr="001A7347">
        <w:rPr>
          <w:i/>
        </w:rPr>
        <w:t>minimum mandatory disclosure</w:t>
      </w:r>
      <w:r>
        <w:t xml:space="preserve">), tanpa harus menunggu tercapainya konsensus penuh mengenai model pengakuan dan pengukuran yang ideal. Bagi manajemen perusahaan, temuan ini menggarisbawahi pentingnya membangun kapasitas internal untuk mengelola dan melaporkan data </w:t>
      </w:r>
      <w:r w:rsidRPr="001A7347">
        <w:rPr>
          <w:i/>
        </w:rPr>
        <w:t>human capital</w:t>
      </w:r>
      <w:r>
        <w:t xml:space="preserve"> secara sistematis, sebagai bagian dari strategi menurunkan asimetri informasi dan membangun kepercayaan investor jangka panjang. Bagi investor dan analis, temuan ini mengingatkan perlunya kehati-hatian dalam menafsirkan rasio-rasio keuangan konvensional pada perusahaan berbasis pengetahuan, mengingat sebagian besar sumber daya penciptaan nilai perusahaan tersebut tidak tercermin dalam neraca. B</w:t>
      </w:r>
      <w:r w:rsidR="001A7347">
        <w:t xml:space="preserve">agi institusi pendidikan tinggi </w:t>
      </w:r>
      <w:r>
        <w:t xml:space="preserve">termasuk program studi </w:t>
      </w:r>
      <w:r w:rsidR="001A7347">
        <w:lastRenderedPageBreak/>
        <w:t xml:space="preserve">akuntansi </w:t>
      </w:r>
      <w:r>
        <w:t xml:space="preserve">temuan ini menegaskan pentingnya pengelolaan </w:t>
      </w:r>
      <w:r w:rsidRPr="001A7347">
        <w:rPr>
          <w:i/>
        </w:rPr>
        <w:t>human capital</w:t>
      </w:r>
      <w:r>
        <w:t xml:space="preserve"> dosen secara strategis, tidak hanya melalui peningkatan kompetensi teknis, tetapi juga penguatan kapasitas kritis dan karakter etis sebagaimana ditegaskan Pasanda (2025).</w:t>
      </w:r>
    </w:p>
    <w:p w:rsidR="00293753" w:rsidRDefault="000821D4">
      <w:pPr>
        <w:spacing w:after="200" w:line="360" w:lineRule="auto"/>
        <w:jc w:val="both"/>
      </w:pPr>
      <w:r>
        <w:t>Sintesis lintas subbagian ini juga memperlihatkan bahwa ketujuh sumber pengukuran dan pengungkapan yang ditelaah pada Tabel 1 dan Tabel 2</w:t>
      </w:r>
      <w:r w:rsidR="001A7347">
        <w:t xml:space="preserve"> </w:t>
      </w:r>
      <w:r>
        <w:t xml:space="preserve">mulai dari pendekatan berbasis biaya, model Skandia Navigator dan </w:t>
      </w:r>
      <w:r w:rsidRPr="001A7347">
        <w:rPr>
          <w:i/>
        </w:rPr>
        <w:t>Intangible Assets Monitor</w:t>
      </w:r>
      <w:r>
        <w:t xml:space="preserve">, VAIC, hingga </w:t>
      </w:r>
      <w:r w:rsidRPr="001A7347">
        <w:rPr>
          <w:i/>
        </w:rPr>
        <w:t>content analysis</w:t>
      </w:r>
      <w:r w:rsidR="001A7347">
        <w:t xml:space="preserve"> </w:t>
      </w:r>
      <w:r>
        <w:t>pada dasarnya merupakan respons yang saling melengkapi terhadap satu akar masalah yang sama, yaitu ketidaksesuaian antara karakteristik human capital dan kriteria pengakuan aset dalam kerangka konseptual akuntansi. Dengan demikian, agenda ke depan bagi pengembangan akuntansi human capital bukanlah mencari satu model tunggal yang “memenangkan” perdebatan, melainkan merumuskan kerangka pelaporan berlapis (</w:t>
      </w:r>
      <w:r w:rsidRPr="001A7347">
        <w:rPr>
          <w:i/>
        </w:rPr>
        <w:t>multi-tier reporting framework)</w:t>
      </w:r>
      <w:r>
        <w:t xml:space="preserve"> yang memungkinkan perusahaan memilih kombinasi model pengukuran dan saluran pengungkapan sesuai dengan karakteristik industri, ketersediaan data, dan kebutuhan penggunanya</w:t>
      </w:r>
      <w:r w:rsidR="001A7347">
        <w:t xml:space="preserve"> </w:t>
      </w:r>
      <w:r>
        <w:t>sebuah arah yang mulai tampak pada perkembangan praktik pelaporan terintegrasi secara global maupun pada inisiatif pengungkapan non-keuangan yang mulai tumbuh di Indonesia.</w:t>
      </w:r>
    </w:p>
    <w:p w:rsidR="00293753" w:rsidRDefault="000821D4">
      <w:pPr>
        <w:spacing w:after="200" w:line="360" w:lineRule="auto"/>
        <w:jc w:val="both"/>
      </w:pPr>
      <w:r>
        <w:t>Untuk memperjelas bagaimana masing-masing sumber literatur utama berkontribusi terhadap tiga isu sentral kajian ini, Tabel 3 memetakan kontribusi tematik setiap sumber terhadap isu pengakuan, pengukuran, pengungkapan, konteks Indonesia, dan konteks akademisi.</w:t>
      </w:r>
    </w:p>
    <w:p w:rsidR="00293753" w:rsidRDefault="000821D4">
      <w:pPr>
        <w:spacing w:after="200" w:line="360" w:lineRule="auto"/>
        <w:jc w:val="center"/>
      </w:pPr>
      <w:r>
        <w:rPr>
          <w:b/>
          <w:bCs/>
        </w:rPr>
        <w:t>Tabel 3. Pemetaan Kontribusi Literatur Utama terhadap Isu Sentral Kajian</w:t>
      </w:r>
    </w:p>
    <w:tbl>
      <w:tblPr>
        <w:tblW w:w="9060" w:type="dxa"/>
        <w:tblInd w:w="-10" w:type="dxa"/>
        <w:tblLook w:val="04A0" w:firstRow="1" w:lastRow="0" w:firstColumn="1" w:lastColumn="0" w:noHBand="0" w:noVBand="1"/>
      </w:tblPr>
      <w:tblGrid>
        <w:gridCol w:w="1913"/>
        <w:gridCol w:w="1335"/>
        <w:gridCol w:w="5812"/>
      </w:tblGrid>
      <w:tr w:rsidR="00611D55" w:rsidTr="00611D55">
        <w:trPr>
          <w:trHeight w:val="525"/>
        </w:trPr>
        <w:tc>
          <w:tcPr>
            <w:tcW w:w="1920" w:type="dxa"/>
            <w:tcBorders>
              <w:top w:val="single" w:sz="8" w:space="0" w:color="auto"/>
              <w:left w:val="single" w:sz="8" w:space="0" w:color="auto"/>
              <w:bottom w:val="single" w:sz="8" w:space="0" w:color="auto"/>
              <w:right w:val="single" w:sz="8" w:space="0" w:color="auto"/>
            </w:tcBorders>
            <w:shd w:val="clear" w:color="000000" w:fill="1F4E79"/>
            <w:vAlign w:val="center"/>
            <w:hideMark/>
          </w:tcPr>
          <w:p w:rsidR="00611D55" w:rsidRDefault="00611D55">
            <w:pPr>
              <w:rPr>
                <w:b/>
                <w:bCs/>
                <w:color w:val="FFFFFF"/>
                <w:sz w:val="20"/>
                <w:szCs w:val="20"/>
              </w:rPr>
            </w:pPr>
            <w:r>
              <w:rPr>
                <w:b/>
                <w:bCs/>
                <w:color w:val="FFFFFF"/>
                <w:sz w:val="20"/>
                <w:szCs w:val="20"/>
              </w:rPr>
              <w:t>Sumber (Tahun)</w:t>
            </w:r>
          </w:p>
        </w:tc>
        <w:tc>
          <w:tcPr>
            <w:tcW w:w="1280" w:type="dxa"/>
            <w:tcBorders>
              <w:top w:val="single" w:sz="8" w:space="0" w:color="auto"/>
              <w:left w:val="nil"/>
              <w:bottom w:val="single" w:sz="8" w:space="0" w:color="auto"/>
              <w:right w:val="single" w:sz="8" w:space="0" w:color="auto"/>
            </w:tcBorders>
            <w:shd w:val="clear" w:color="000000" w:fill="1F4E79"/>
            <w:vAlign w:val="center"/>
            <w:hideMark/>
          </w:tcPr>
          <w:p w:rsidR="00611D55" w:rsidRDefault="00611D55">
            <w:pPr>
              <w:rPr>
                <w:b/>
                <w:bCs/>
                <w:color w:val="FFFFFF"/>
                <w:sz w:val="20"/>
                <w:szCs w:val="20"/>
              </w:rPr>
            </w:pPr>
            <w:r>
              <w:rPr>
                <w:b/>
                <w:bCs/>
                <w:color w:val="FFFFFF"/>
                <w:sz w:val="20"/>
                <w:szCs w:val="20"/>
              </w:rPr>
              <w:t>Isu Utama</w:t>
            </w:r>
          </w:p>
        </w:tc>
        <w:tc>
          <w:tcPr>
            <w:tcW w:w="5860" w:type="dxa"/>
            <w:tcBorders>
              <w:top w:val="single" w:sz="8" w:space="0" w:color="auto"/>
              <w:left w:val="nil"/>
              <w:bottom w:val="single" w:sz="8" w:space="0" w:color="auto"/>
              <w:right w:val="single" w:sz="8" w:space="0" w:color="auto"/>
            </w:tcBorders>
            <w:shd w:val="clear" w:color="000000" w:fill="1F4E79"/>
            <w:vAlign w:val="center"/>
            <w:hideMark/>
          </w:tcPr>
          <w:p w:rsidR="00611D55" w:rsidRDefault="00611D55">
            <w:pPr>
              <w:rPr>
                <w:b/>
                <w:bCs/>
                <w:color w:val="FFFFFF"/>
                <w:sz w:val="20"/>
                <w:szCs w:val="20"/>
              </w:rPr>
            </w:pPr>
            <w:r>
              <w:rPr>
                <w:b/>
                <w:bCs/>
                <w:color w:val="FFFFFF"/>
                <w:sz w:val="20"/>
                <w:szCs w:val="20"/>
              </w:rPr>
              <w:t>Kontribusi Tematik</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Flamholtz &amp; Lacey (1981)</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Pengakuan</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Meletakkan dasar konsep akuntansi sumber daya manusia dan kendala pengakuannya</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Darma (2020)</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Pengakuan</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Variasi praktik perlakuan akuntansi SDM sebagai aset di Indonesia</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Luthy (1998)</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Pengukuran</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Klasifikasi awal model pengukuran modal intelektual</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Edvinsson &amp; Malone (1997)</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Pengukuran</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Model Skandia Navigator sebagai kerangka pelaporan terintegrasi</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Sveiby (1997)</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Pengukuran</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Model Intangible Assets Monitor berbasis indikator non-keuangan</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lastRenderedPageBreak/>
              <w:t>Pulic (2004)</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Pengukuran</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Model VAIC berbasis efisiensi nilai tambah dari laporan teraudit</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Bavali &amp; Jokar (2014)</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Pengukuran</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Penyempurnaan pendekatan biaya dengan estimasi produktivitas</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Guthrie &amp; Petty (2000); Guthrie et al. (2004)</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Pengukuran</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Metodologi content analysis untuk pengungkapan modal intelektual</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Duff (2018)</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Pengungkapan</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Pola pengungkapan human capital pada perusahaan jasa profesional</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Bontis (2003); Firer &amp; Williams (2005)</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Pengungkapan</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Pengaruh struktur kepemilikan terhadap luas pengungkapan</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Samudhram et al. (2010)</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Pengungkapan</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Kerangka teoretis hambatan non-disclosure human capital</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Beattie &amp; Smith (2010)</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Pengungkapan</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Keterkaitan human capital dengan penciptaan nilai perusahaan</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Saad &amp; Hassan (2013); Adelowotan (2021)</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Pengungkapan</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Motivasi legitimasi dan kendala model penilaian yang baku</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Go &amp; Mardatillah (2024)</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Konteks Indonesia</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Kajian kritis perkembangan akuntansi SDM di Indonesia</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Supriatna (2014)</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Konteks Indonesia</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Pengaruh human capital terhadap kinerja auditor KAP</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Rudiyanto &amp; Sutisna (2022)</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Akademisi</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Kontribusi dimensi academics human capital terhadap kinerja dosen</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Trisnaningsih (2011); Permana et al. (2022)</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Akademisi</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Peran komitmen, motivasi, dan pelatihan dalam kinerja dosen</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Ployhart &amp; Moliterno (2011)</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Lintas isu</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Model multilevel emergensi human capital sebagai sumber daya unit</w:t>
            </w:r>
          </w:p>
        </w:tc>
      </w:tr>
      <w:tr w:rsidR="00611D55" w:rsidTr="00611D55">
        <w:trPr>
          <w:trHeight w:val="630"/>
        </w:trPr>
        <w:tc>
          <w:tcPr>
            <w:tcW w:w="1920" w:type="dxa"/>
            <w:tcBorders>
              <w:top w:val="nil"/>
              <w:left w:val="single" w:sz="8" w:space="0" w:color="auto"/>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Pasanda (2025)</w:t>
            </w:r>
          </w:p>
        </w:tc>
        <w:tc>
          <w:tcPr>
            <w:tcW w:w="128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Akademisi</w:t>
            </w:r>
          </w:p>
        </w:tc>
        <w:tc>
          <w:tcPr>
            <w:tcW w:w="5860" w:type="dxa"/>
            <w:tcBorders>
              <w:top w:val="nil"/>
              <w:left w:val="nil"/>
              <w:bottom w:val="single" w:sz="8" w:space="0" w:color="auto"/>
              <w:right w:val="single" w:sz="8" w:space="0" w:color="auto"/>
            </w:tcBorders>
            <w:shd w:val="clear" w:color="auto" w:fill="auto"/>
            <w:vAlign w:val="center"/>
            <w:hideMark/>
          </w:tcPr>
          <w:p w:rsidR="00611D55" w:rsidRDefault="00611D55">
            <w:pPr>
              <w:rPr>
                <w:color w:val="000000"/>
                <w:sz w:val="19"/>
                <w:szCs w:val="19"/>
              </w:rPr>
            </w:pPr>
            <w:r>
              <w:rPr>
                <w:color w:val="000000"/>
                <w:sz w:val="19"/>
                <w:szCs w:val="19"/>
              </w:rPr>
              <w:t>Peran etika religius sebagai fondasi human capital di ranah akademik</w:t>
            </w:r>
          </w:p>
        </w:tc>
      </w:tr>
    </w:tbl>
    <w:p w:rsidR="00293753" w:rsidRDefault="00293753">
      <w:pPr>
        <w:spacing w:after="200"/>
      </w:pPr>
    </w:p>
    <w:p w:rsidR="00293753" w:rsidRDefault="000821D4">
      <w:pPr>
        <w:spacing w:after="200" w:line="360" w:lineRule="auto"/>
        <w:jc w:val="both"/>
      </w:pPr>
      <w:r>
        <w:t>Pemetaan pada Tabel 3 menegaskan bahwa isu pengukuran dan pengungkapan merupakan dua isu yang paling banyak menarik perhatian literatur yang ditelaah, sementara isu pengakuan formal justru relatif jarang dikaji secara khusus</w:t>
      </w:r>
      <w:r w:rsidR="001A7347">
        <w:t xml:space="preserve"> </w:t>
      </w:r>
      <w:r>
        <w:t>kemungkinan karena konsensus bahwa human capital tidak dapat diakui sebagai aset formal sudah dianggap sebagai titik tolak (</w:t>
      </w:r>
      <w:r w:rsidRPr="001A7347">
        <w:rPr>
          <w:i/>
        </w:rPr>
        <w:t>given)</w:t>
      </w:r>
      <w:r>
        <w:t>, bukan pertanyaan penelitian yang masih diperdebatkan. Pemetaan ini juga menunjukkan bahwa kajian mengenai konteks Indonesia dan konteks akademisi masih relatif terbatas jumlahnya dibandingkan kajian pada konteks korporasi di negara maju, yang sekali lagi menegaskan relevansi dan kebaruan (</w:t>
      </w:r>
      <w:r w:rsidRPr="001A7347">
        <w:rPr>
          <w:i/>
        </w:rPr>
        <w:t>novelty)</w:t>
      </w:r>
      <w:r>
        <w:t xml:space="preserve"> kajian ini dalam memperluas cakupan akuntansi human capital ke ranah yang belum banyak dieksplorasi oleh literatur sebelumnya.</w:t>
      </w:r>
    </w:p>
    <w:p w:rsidR="00293753" w:rsidRDefault="000821D4">
      <w:pPr>
        <w:pStyle w:val="Heading2"/>
        <w:spacing w:before="320" w:after="160"/>
      </w:pPr>
      <w:r>
        <w:rPr>
          <w:b/>
          <w:bCs/>
          <w:sz w:val="24"/>
          <w:szCs w:val="24"/>
        </w:rPr>
        <w:lastRenderedPageBreak/>
        <w:t>4.7 Keterbatasan Kajian dan Agenda Penelitian Mendatang</w:t>
      </w:r>
    </w:p>
    <w:p w:rsidR="00293753" w:rsidRDefault="000821D4">
      <w:pPr>
        <w:spacing w:after="200" w:line="360" w:lineRule="auto"/>
        <w:jc w:val="both"/>
      </w:pPr>
      <w:r>
        <w:t xml:space="preserve">Sebagaimana lazimnya penelitian kualitatif berbasis studi kepustakaan, kajian ini memiliki sejumlah keterbatasan yang perlu diperhatikan dalam menafsirkan temuannya. Pertama, karena bersumber sepenuhnya dari data sekunder berupa literatur yang telah dipublikasikan, kajian ini tidak dapat menangkap praktik akuntansi </w:t>
      </w:r>
      <w:r w:rsidRPr="001A7347">
        <w:rPr>
          <w:i/>
        </w:rPr>
        <w:t>human capital</w:t>
      </w:r>
      <w:r>
        <w:t xml:space="preserve"> yang belum terdokumentasikan dalam literatur ilmiah, misalnya praktik informal yang diterapkan oleh perusahaan skala kecil dan menengah di Indonesia. Kedua, sebagian besar literatur yang ditelaah berasal dari konteks negara maju, sehingga generalisasi temuan ke konteks negara berkembang</w:t>
      </w:r>
      <w:r w:rsidR="001A7347">
        <w:t xml:space="preserve"> </w:t>
      </w:r>
      <w:r>
        <w:t>termasuk Indonesia</w:t>
      </w:r>
      <w:r w:rsidR="001A7347">
        <w:t xml:space="preserve"> </w:t>
      </w:r>
      <w:r>
        <w:t>perlu dilakukan dengan kehati-hatian, meskipun kajian ini telah berupaya mengimbangi hal tersebut dengan menyertakan sejumlah literatur berkonteks Indonesia. Ketiga, sebagai kajian yang bersifat interpretatif, proses pengelompokan tema dan penarikan simpulan dalam kajian ini tidak terlepas dari sudut pandang dan penafsiran peneliti terhadap literatur yang ditelaah, meskipun telah diupayakan objektivitas melalui triangulasi sumber.</w:t>
      </w:r>
    </w:p>
    <w:p w:rsidR="00293753" w:rsidRDefault="000821D4">
      <w:pPr>
        <w:spacing w:after="200" w:line="360" w:lineRule="auto"/>
        <w:jc w:val="both"/>
      </w:pPr>
      <w:r>
        <w:t xml:space="preserve">Berdasarkan keterbatasan tersebut, penelitian mendatang disarankan untuk melengkapi kajian kepustakaan ini dengan penelitian kualitatif lapangan, misalnya studi kasus mendalam pada beberapa perusahaan atau institusi pendidikan tinggi di Indonesia yang telah menerapkan bentuk-bentuk akuntansi sumber daya manusia secara internal, guna memperoleh pemahaman yang lebih kontekstual mengenai praktik dan hambatan riil di lapangan. Penelitian mendatang juga dapat mengeksplorasi lebih jauh keterkaitan antara nilai etika religius dan kualitas </w:t>
      </w:r>
      <w:r w:rsidRPr="001A7347">
        <w:rPr>
          <w:i/>
        </w:rPr>
        <w:t>human capital</w:t>
      </w:r>
      <w:r>
        <w:t xml:space="preserve"> sebagaimana diangkat oleh Pasanda (2025), misalnya melalui wawancara mendalam dengan akademisi akuntansi mengenai bagaimana nilai-nilai tersebut termanifestasi dalam praktik keseharian mereka sebagai pendidik dan peneliti. Selain itu, mengingat besarnya kontribusi dimensi kapasitas kritis terhadap kinerja dosen akuntansi sebagaimana ditemukan Rudiyanto dan Sutisna (2022), penelitian mendatang dapat menguji secara lebih spesifik intervensi atau program pengembangan seperti apa yang paling efektif dalam menumbuhkan kapasitas kritis tersebut di lingkungan akademik akuntansi Indonesia.</w:t>
      </w:r>
    </w:p>
    <w:p w:rsidR="00293753" w:rsidRDefault="000821D4">
      <w:pPr>
        <w:pStyle w:val="Heading1"/>
        <w:spacing w:before="320" w:after="160"/>
      </w:pPr>
      <w:r>
        <w:rPr>
          <w:b/>
          <w:bCs/>
          <w:sz w:val="26"/>
          <w:szCs w:val="26"/>
        </w:rPr>
        <w:t>5. SIMPULAN</w:t>
      </w:r>
    </w:p>
    <w:p w:rsidR="00293753" w:rsidRDefault="000821D4">
      <w:pPr>
        <w:spacing w:after="200" w:line="360" w:lineRule="auto"/>
        <w:jc w:val="both"/>
      </w:pPr>
      <w:r>
        <w:t xml:space="preserve">Kajian kualitatif ini menyimpulkan beberapa hal pokok mengenai human capital dalam perspektif akuntansi. Pertama, dari sisi pengakuan, kerangka akuntansi keuangan konvensional belum dapat mengakomodasi human capital sebagai aset dalam laporan posisi </w:t>
      </w:r>
      <w:r>
        <w:lastRenderedPageBreak/>
        <w:t>keuangan karena tidak terpenuhinya kriteria kendali dan keandalan pengukuran, sehingga seluruh pengeluaran terkait sumber daya manusia tetap diperlakukan sebagai beban periode berjalan. Kedua, dari sisi pengukuran, berbagai model telah dikembangkan sebagai jalan tengah di luar pelaporan keuangan formal</w:t>
      </w:r>
      <w:r w:rsidR="001A7347">
        <w:t xml:space="preserve"> </w:t>
      </w:r>
      <w:r>
        <w:t>mulai dari pendekatan berbasis biaya dan nilai ekonomis, model Skandia Navigator dan Intangible Assets Monitor, hingga pendekatan berbasis efisiensi seperti VAIC dan pendekatan content analysis</w:t>
      </w:r>
      <w:r w:rsidR="001A7347">
        <w:t xml:space="preserve"> </w:t>
      </w:r>
      <w:r>
        <w:t>tanpa adanya satu model yang secara tunggal diterima sebagai standar, karena masing-masing model menghadirkan trade-off berbeda antara objektivitas, komparabilitas, dan kedalaman informasi. Ketiga, dari sisi pengungkapan, praktik pelaporan human capital bersifat sukarela, didominasi informasi naratif dan kualitatif, serta dipengaruhi oleh berbagai faktor penghambat seperti kekhawatiran hilangnya keunggulan kompetitif dan ketiadaan standar pelaporan yang seragam. Keempat, tantangan implementasi di Indonesia bersifat berlapis mulai dari tataran regulasi hingga tataran organisasi dan individu, meskipun tren positif ke arah pengungkapan non-keuangan mulai terlihat. Kelima, persoalan human capital tidak terbatas pada konteks korporasi, melainkan juga sangat relevan pada konteks akademisi akuntansi, di mana kapasitas kritis terbukti menjadi dimensi human capital yang paling menentukan kinerja, dan penguatannya perlu diiringi penguatan nilai etika religius.</w:t>
      </w:r>
    </w:p>
    <w:p w:rsidR="00293753" w:rsidRDefault="000821D4">
      <w:pPr>
        <w:spacing w:after="200" w:line="360" w:lineRule="auto"/>
        <w:jc w:val="both"/>
      </w:pPr>
      <w:r>
        <w:t>Implikasi dari temuan ini adalah perlunya kolaborasi antara badan penyusun standar akuntansi, akademisi, dan praktisi untuk mengembangkan kerangka pengukuran dan pengungkapan human capital yang lebih terstandardisasi, sehingga informasi mengenai modal manusia dapat menjadi lebih relevan, dapat diperbandingkan, dan bermanfaat bagi pengambilan keputusan investor serta pemangku kepentingan lainnya. Penelitian selanjutnya disarankan untuk melengkapi kajian kepustakaan ini dengan pendekatan kualitatif lapangan, seperti studi kasus atau wawancara mendalam dengan penyusun laporan keuangan dan pengguna laporan, guna memperoleh pemahaman yang lebih kontekstual mengenai praktik dan hambatan penerapan akuntansi human capital di lapangan.</w:t>
      </w:r>
    </w:p>
    <w:p w:rsidR="00293753" w:rsidRDefault="000821D4">
      <w:pPr>
        <w:pStyle w:val="Heading1"/>
        <w:spacing w:before="320" w:after="160"/>
      </w:pPr>
      <w:r>
        <w:rPr>
          <w:b/>
          <w:bCs/>
          <w:sz w:val="26"/>
          <w:szCs w:val="26"/>
        </w:rPr>
        <w:t>DAFTAR PUSTAKA</w:t>
      </w:r>
    </w:p>
    <w:p w:rsidR="00293753" w:rsidRDefault="000821D4">
      <w:pPr>
        <w:spacing w:after="160" w:line="300" w:lineRule="auto"/>
        <w:ind w:left="720" w:hanging="720"/>
        <w:jc w:val="both"/>
      </w:pPr>
      <w:r>
        <w:rPr>
          <w:sz w:val="22"/>
          <w:szCs w:val="22"/>
        </w:rPr>
        <w:t>Adelowotan, M. O. (2021). The usefulness of human capital disclosures: Perspectives of human resource managers. African Journal of Business and Economic Research, 16(1), 331–360.</w:t>
      </w:r>
    </w:p>
    <w:p w:rsidR="00293753" w:rsidRDefault="000821D4">
      <w:pPr>
        <w:spacing w:after="160" w:line="300" w:lineRule="auto"/>
        <w:ind w:left="720" w:hanging="720"/>
        <w:jc w:val="both"/>
      </w:pPr>
      <w:r>
        <w:rPr>
          <w:sz w:val="22"/>
          <w:szCs w:val="22"/>
        </w:rPr>
        <w:t>Bavali, E., &amp; Jokar, I. (2014). A new approach for measuring human resource accounting. Management Science Letters, 4(2), 335–340.</w:t>
      </w:r>
    </w:p>
    <w:p w:rsidR="00293753" w:rsidRDefault="000821D4">
      <w:pPr>
        <w:spacing w:after="160" w:line="300" w:lineRule="auto"/>
        <w:ind w:left="720" w:hanging="720"/>
        <w:jc w:val="both"/>
      </w:pPr>
      <w:r>
        <w:rPr>
          <w:sz w:val="22"/>
          <w:szCs w:val="22"/>
        </w:rPr>
        <w:t>Beattie, V., &amp; Smith, S. J. (2010). Human capital, value creation and disclosure. Journal of Human Resource Costing and Accounting, 14(4), 262–285.</w:t>
      </w:r>
    </w:p>
    <w:p w:rsidR="00293753" w:rsidRDefault="000821D4">
      <w:pPr>
        <w:spacing w:after="160" w:line="300" w:lineRule="auto"/>
        <w:ind w:left="720" w:hanging="720"/>
        <w:jc w:val="both"/>
      </w:pPr>
      <w:r>
        <w:rPr>
          <w:sz w:val="22"/>
          <w:szCs w:val="22"/>
        </w:rPr>
        <w:lastRenderedPageBreak/>
        <w:t>Becker, G. S. (2009). Human capital: A theoretical and empirical analysis, with special reference to education (3rd ed.). National Bureau of Economic Research.</w:t>
      </w:r>
    </w:p>
    <w:p w:rsidR="00293753" w:rsidRDefault="000821D4">
      <w:pPr>
        <w:spacing w:after="160" w:line="300" w:lineRule="auto"/>
        <w:ind w:left="720" w:hanging="720"/>
        <w:jc w:val="both"/>
      </w:pPr>
      <w:r>
        <w:rPr>
          <w:sz w:val="22"/>
          <w:szCs w:val="22"/>
        </w:rPr>
        <w:t>Bontis, N. (2001). Assessing knowledge assets: A review of the models used to measure intellectual capital. International Journal of Management Reviews, 3(1), 41–60.</w:t>
      </w:r>
    </w:p>
    <w:p w:rsidR="00293753" w:rsidRDefault="000821D4">
      <w:pPr>
        <w:spacing w:after="160" w:line="300" w:lineRule="auto"/>
        <w:ind w:left="720" w:hanging="720"/>
        <w:jc w:val="both"/>
      </w:pPr>
      <w:r>
        <w:rPr>
          <w:sz w:val="22"/>
          <w:szCs w:val="22"/>
        </w:rPr>
        <w:t>Bontis, N. (2003). Intellectual capital disclosure in Canadian corporations. Journal of Human Resource Costing &amp; Accounting, 7(1), 9–20.</w:t>
      </w:r>
    </w:p>
    <w:p w:rsidR="00293753" w:rsidRDefault="000821D4">
      <w:pPr>
        <w:spacing w:after="160" w:line="300" w:lineRule="auto"/>
        <w:ind w:left="720" w:hanging="720"/>
        <w:jc w:val="both"/>
      </w:pPr>
      <w:r>
        <w:rPr>
          <w:sz w:val="22"/>
          <w:szCs w:val="22"/>
        </w:rPr>
        <w:t>Darma, S. (2020). Eksistensi akuntansi sumber daya manusia sebagai aset. JAS (Jurnal Akuntansi Syariah), 4(1), 1–15.</w:t>
      </w:r>
    </w:p>
    <w:p w:rsidR="00293753" w:rsidRDefault="000821D4">
      <w:pPr>
        <w:spacing w:after="160" w:line="300" w:lineRule="auto"/>
        <w:ind w:left="720" w:hanging="720"/>
        <w:jc w:val="both"/>
      </w:pPr>
      <w:r>
        <w:rPr>
          <w:sz w:val="22"/>
          <w:szCs w:val="22"/>
        </w:rPr>
        <w:t>Duff, A. (2018). Intellectual capital disclosure: Evidence from UK accounting firms. Journal of Intellectual Capital, 19(4), 768–786. https://doi.org/10.1108/JIC-06-2017-0079</w:t>
      </w:r>
    </w:p>
    <w:p w:rsidR="00293753" w:rsidRDefault="000821D4">
      <w:pPr>
        <w:spacing w:after="160" w:line="300" w:lineRule="auto"/>
        <w:ind w:left="720" w:hanging="720"/>
        <w:jc w:val="both"/>
      </w:pPr>
      <w:r>
        <w:rPr>
          <w:sz w:val="22"/>
          <w:szCs w:val="22"/>
        </w:rPr>
        <w:t>Edvinsson, L., &amp; Malone, M. S. (1997). Intellectual capital: Realizing your company's true value by finding its hidden brainpower. HarperBusiness.</w:t>
      </w:r>
    </w:p>
    <w:p w:rsidR="00293753" w:rsidRDefault="000821D4">
      <w:pPr>
        <w:spacing w:after="160" w:line="300" w:lineRule="auto"/>
        <w:ind w:left="720" w:hanging="720"/>
        <w:jc w:val="both"/>
      </w:pPr>
      <w:r>
        <w:rPr>
          <w:sz w:val="22"/>
          <w:szCs w:val="22"/>
        </w:rPr>
        <w:t>Firer, S., &amp; Williams, S. M. (2005). Firm ownership structure and intellectual capital disclosure. SA Journal of Accounting Research, 19(1), 1–18.</w:t>
      </w:r>
    </w:p>
    <w:p w:rsidR="00293753" w:rsidRDefault="000821D4">
      <w:pPr>
        <w:spacing w:after="160" w:line="300" w:lineRule="auto"/>
        <w:ind w:left="720" w:hanging="720"/>
        <w:jc w:val="both"/>
      </w:pPr>
      <w:r>
        <w:rPr>
          <w:sz w:val="22"/>
          <w:szCs w:val="22"/>
        </w:rPr>
        <w:t>Flamholtz, E. G., &amp; Lacey, J. M. (1981). Personnel management, human capital theory, and human resource accounting. Institute of Industrial Relations, University of California, Los Angeles.</w:t>
      </w:r>
    </w:p>
    <w:p w:rsidR="00293753" w:rsidRDefault="000821D4">
      <w:pPr>
        <w:spacing w:after="160" w:line="300" w:lineRule="auto"/>
        <w:ind w:left="720" w:hanging="720"/>
        <w:jc w:val="both"/>
      </w:pPr>
      <w:r>
        <w:rPr>
          <w:sz w:val="22"/>
          <w:szCs w:val="22"/>
        </w:rPr>
        <w:t>Go, N. A., &amp; Mardatillah. (2024). Kajian kritis akuntansi sumber daya manusia di Indonesia. Jurnal Akuntansi Manajemen Madani, 10(2).</w:t>
      </w:r>
    </w:p>
    <w:p w:rsidR="00293753" w:rsidRDefault="000821D4">
      <w:pPr>
        <w:spacing w:after="160" w:line="300" w:lineRule="auto"/>
        <w:ind w:left="720" w:hanging="720"/>
        <w:jc w:val="both"/>
      </w:pPr>
      <w:r>
        <w:rPr>
          <w:sz w:val="22"/>
          <w:szCs w:val="22"/>
        </w:rPr>
        <w:t>Guthrie, J., &amp; Petty, R. (2000). Intellectual capital: Australian annual reporting practices. Journal of Intellectual Capital, 1(3), 241–251. https://doi.org/10.1108/14691930010350800</w:t>
      </w:r>
    </w:p>
    <w:p w:rsidR="00293753" w:rsidRDefault="000821D4">
      <w:pPr>
        <w:spacing w:after="160" w:line="300" w:lineRule="auto"/>
        <w:ind w:left="720" w:hanging="720"/>
        <w:jc w:val="both"/>
      </w:pPr>
      <w:r>
        <w:rPr>
          <w:sz w:val="22"/>
          <w:szCs w:val="22"/>
        </w:rPr>
        <w:t>Guthrie, J., Petty, R., Yongvanich, K., &amp; Ricceri, F. (2004). Using content analysis as a research method to inquire into intellectual capital reporting. Journal of Intellectual Capital, 5(2), 282–293. https://doi.org/10.1108/14691930410533704</w:t>
      </w:r>
    </w:p>
    <w:p w:rsidR="00293753" w:rsidRDefault="000821D4">
      <w:pPr>
        <w:spacing w:after="160" w:line="300" w:lineRule="auto"/>
        <w:ind w:left="720" w:hanging="720"/>
        <w:jc w:val="both"/>
      </w:pPr>
      <w:r>
        <w:rPr>
          <w:sz w:val="22"/>
          <w:szCs w:val="22"/>
        </w:rPr>
        <w:t>Luthy, D. H. (1998). Intellectual capital and its measurement [Makalah konferensi]. Proceedings of the Asian Pacific Interdisciplinary Research in Accounting Conference (APIRA), Osaka, Jepang.</w:t>
      </w:r>
    </w:p>
    <w:p w:rsidR="00293753" w:rsidRDefault="000821D4">
      <w:pPr>
        <w:spacing w:after="160" w:line="300" w:lineRule="auto"/>
        <w:ind w:left="720" w:hanging="720"/>
        <w:jc w:val="both"/>
      </w:pPr>
      <w:r>
        <w:rPr>
          <w:sz w:val="22"/>
          <w:szCs w:val="22"/>
        </w:rPr>
        <w:t>Pasanda, E. (2025). Sinergi antara etika religius dan human capital dalam ranah akademik. CV. Adanu Abimata (Penerbit Adab).</w:t>
      </w:r>
    </w:p>
    <w:p w:rsidR="00293753" w:rsidRDefault="000821D4">
      <w:pPr>
        <w:spacing w:after="160" w:line="300" w:lineRule="auto"/>
        <w:ind w:left="720" w:hanging="720"/>
        <w:jc w:val="both"/>
      </w:pPr>
      <w:r>
        <w:rPr>
          <w:sz w:val="22"/>
          <w:szCs w:val="22"/>
        </w:rPr>
        <w:t>Permana, T. E., Yuniarsih, T., Ahman, E., Wibowo, L. A., &amp; Wiyono, D. (2022). Pengembangan human capital dalam mendukung perilaku kerja dan kinerja dosen. Jurnal Manajemen, 13(2), 251–262. https://doi.org/10.32832/jm-uika.v13i2.6958</w:t>
      </w:r>
    </w:p>
    <w:p w:rsidR="00293753" w:rsidRDefault="000821D4">
      <w:pPr>
        <w:spacing w:after="160" w:line="300" w:lineRule="auto"/>
        <w:ind w:left="720" w:hanging="720"/>
        <w:jc w:val="both"/>
      </w:pPr>
      <w:r>
        <w:rPr>
          <w:sz w:val="22"/>
          <w:szCs w:val="22"/>
        </w:rPr>
        <w:t>Ployhart, R. E., &amp; Moliterno, T. P. (2011). Emergence of the human capital resource: A multilevel model. Academy of Management Review, 36(1), 127–150.</w:t>
      </w:r>
    </w:p>
    <w:p w:rsidR="00293753" w:rsidRDefault="000821D4">
      <w:pPr>
        <w:spacing w:after="160" w:line="300" w:lineRule="auto"/>
        <w:ind w:left="720" w:hanging="720"/>
        <w:jc w:val="both"/>
      </w:pPr>
      <w:r>
        <w:rPr>
          <w:sz w:val="22"/>
          <w:szCs w:val="22"/>
        </w:rPr>
        <w:t>Prasetia, D., &amp; Maisarah, S. N. (2025). Human capital accounting: A literature review of valuation, disclosure, and organizational impact. Citizen: Jurnal Ilmiah Multidisiplin Indonesia, 5(4), 965–971. https://doi.org/10.53866/jimi.v5i4.939</w:t>
      </w:r>
    </w:p>
    <w:p w:rsidR="00293753" w:rsidRDefault="000821D4">
      <w:pPr>
        <w:spacing w:after="160" w:line="300" w:lineRule="auto"/>
        <w:ind w:left="720" w:hanging="720"/>
        <w:jc w:val="both"/>
      </w:pPr>
      <w:r>
        <w:rPr>
          <w:sz w:val="22"/>
          <w:szCs w:val="22"/>
        </w:rPr>
        <w:lastRenderedPageBreak/>
        <w:t>Pulic, A. (2004). Intellectual capital – Does it create or destroy value? Measuring Business Excellence, 8(1), 62–68.</w:t>
      </w:r>
    </w:p>
    <w:p w:rsidR="00293753" w:rsidRDefault="000821D4">
      <w:pPr>
        <w:spacing w:after="160" w:line="300" w:lineRule="auto"/>
        <w:ind w:left="720" w:hanging="720"/>
        <w:jc w:val="both"/>
      </w:pPr>
      <w:r>
        <w:rPr>
          <w:sz w:val="22"/>
          <w:szCs w:val="22"/>
        </w:rPr>
        <w:t>Rudiyanto, R., &amp; Sutisna, A. J. (2022). Academics human capital dan kinerja dosen akuntansi: Studi empiris di perguruan tinggi Provinsi Banten. Owner: Riset dan Jurnal Akuntansi, 6(3), 2779–2795. https://doi.org/10.33395/owner.v6i3.997</w:t>
      </w:r>
    </w:p>
    <w:p w:rsidR="00293753" w:rsidRDefault="000821D4">
      <w:pPr>
        <w:spacing w:after="160" w:line="300" w:lineRule="auto"/>
        <w:ind w:left="720" w:hanging="720"/>
        <w:jc w:val="both"/>
      </w:pPr>
      <w:r>
        <w:rPr>
          <w:sz w:val="22"/>
          <w:szCs w:val="22"/>
        </w:rPr>
        <w:t>Saad, S., &amp; Hassan, M. S. (2013). The nature and motivation of human capital reporting (HCR): A preliminary study. Accounting Research Institute &amp; Faculty of Accountancy, Universiti Teknologi MARA.</w:t>
      </w:r>
    </w:p>
    <w:p w:rsidR="00293753" w:rsidRDefault="000821D4">
      <w:pPr>
        <w:spacing w:after="160" w:line="300" w:lineRule="auto"/>
        <w:ind w:left="720" w:hanging="720"/>
        <w:jc w:val="both"/>
      </w:pPr>
      <w:r>
        <w:rPr>
          <w:sz w:val="22"/>
          <w:szCs w:val="22"/>
        </w:rPr>
        <w:t>Samudhram, A., Sivalingam, G., &amp; Shanmugam, B. (2010). Non-disclosure of human capital-based information: Theoretical perspectives. Journal of Human Resource Costing &amp; Accounting, 14(2), 106–128. https://doi.org/10.1108/14013381011062621</w:t>
      </w:r>
    </w:p>
    <w:p w:rsidR="00293753" w:rsidRDefault="000821D4">
      <w:pPr>
        <w:spacing w:after="160" w:line="300" w:lineRule="auto"/>
        <w:ind w:left="720" w:hanging="720"/>
        <w:jc w:val="both"/>
      </w:pPr>
      <w:r>
        <w:rPr>
          <w:sz w:val="22"/>
          <w:szCs w:val="22"/>
        </w:rPr>
        <w:t>Sugiyono. (2016). Metode penelitian kuantitatif, kualitatif, dan R&amp;D. Alfabeta.</w:t>
      </w:r>
    </w:p>
    <w:p w:rsidR="00293753" w:rsidRDefault="000821D4">
      <w:pPr>
        <w:spacing w:after="160" w:line="300" w:lineRule="auto"/>
        <w:ind w:left="720" w:hanging="720"/>
        <w:jc w:val="both"/>
      </w:pPr>
      <w:r>
        <w:rPr>
          <w:sz w:val="22"/>
          <w:szCs w:val="22"/>
        </w:rPr>
        <w:t>Supriatna, N. (2014). Pengaruh human capital terhadap kinerja auditor pada KAP yang ada di Bandung. Jurnal Riset Akuntansi dan Keuangan, 2(1), 269–275. https://doi.org/10.17509/jrak.v2i1.6580</w:t>
      </w:r>
    </w:p>
    <w:p w:rsidR="00293753" w:rsidRDefault="000821D4">
      <w:pPr>
        <w:spacing w:after="160" w:line="300" w:lineRule="auto"/>
        <w:ind w:left="720" w:hanging="720"/>
        <w:jc w:val="both"/>
      </w:pPr>
      <w:r>
        <w:rPr>
          <w:sz w:val="22"/>
          <w:szCs w:val="22"/>
        </w:rPr>
        <w:t>Sveiby, K. E. (1997). The intangible assets monitor. Journal of Human Resource Costing &amp; Accounting, 2(1), 73–97.</w:t>
      </w:r>
    </w:p>
    <w:p w:rsidR="00293753" w:rsidRDefault="000821D4">
      <w:pPr>
        <w:spacing w:after="160" w:line="300" w:lineRule="auto"/>
        <w:ind w:left="720" w:hanging="720"/>
        <w:jc w:val="both"/>
      </w:pPr>
      <w:r>
        <w:rPr>
          <w:sz w:val="22"/>
          <w:szCs w:val="22"/>
        </w:rPr>
        <w:t>Trisnaningsih, S. (2011). Faktor-faktor yang mempengaruhi kinerja dosen akuntansi. Jurnal Akuntansi dan Auditing, 8(1), 83–94. https://doi.org/10.14710/jaa.v8i1.4349</w:t>
      </w:r>
    </w:p>
    <w:sectPr w:rsidR="00293753">
      <w:headerReference w:type="default" r:id="rId7"/>
      <w:footerReference w:type="default" r:id="rId8"/>
      <w:pgSz w:w="11906" w:h="16838"/>
      <w:pgMar w:top="1440" w:right="1417" w:bottom="1440"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B91" w:rsidRDefault="00DD3B91">
      <w:r>
        <w:separator/>
      </w:r>
    </w:p>
  </w:endnote>
  <w:endnote w:type="continuationSeparator" w:id="0">
    <w:p w:rsidR="00DD3B91" w:rsidRDefault="00DD3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753" w:rsidRDefault="000821D4">
    <w:pPr>
      <w:jc w:val="center"/>
    </w:pPr>
    <w:r>
      <w:rPr>
        <w:sz w:val="20"/>
        <w:szCs w:val="20"/>
      </w:rPr>
      <w:fldChar w:fldCharType="begin"/>
    </w:r>
    <w:r>
      <w:rPr>
        <w:sz w:val="20"/>
        <w:szCs w:val="20"/>
      </w:rPr>
      <w:instrText>PAGE</w:instrText>
    </w:r>
    <w:r>
      <w:rPr>
        <w:sz w:val="20"/>
        <w:szCs w:val="20"/>
      </w:rPr>
      <w:fldChar w:fldCharType="separate"/>
    </w:r>
    <w:r w:rsidR="00312762">
      <w:rPr>
        <w:noProof/>
        <w:sz w:val="20"/>
        <w:szCs w:val="20"/>
      </w:rPr>
      <w:t>20</w:t>
    </w:r>
    <w:r>
      <w:rPr>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B91" w:rsidRDefault="00DD3B91">
      <w:r>
        <w:separator/>
      </w:r>
    </w:p>
  </w:footnote>
  <w:footnote w:type="continuationSeparator" w:id="0">
    <w:p w:rsidR="00DD3B91" w:rsidRDefault="00DD3B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753" w:rsidRDefault="000821D4">
    <w:pPr>
      <w:jc w:val="right"/>
    </w:pPr>
    <w:r>
      <w:rPr>
        <w:i/>
        <w:iCs/>
        <w:sz w:val="18"/>
        <w:szCs w:val="18"/>
      </w:rPr>
      <w:t>Human Capital dalam Perspektif Akuntansi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80913"/>
    <w:multiLevelType w:val="hybridMultilevel"/>
    <w:tmpl w:val="86608FC4"/>
    <w:lvl w:ilvl="0" w:tplc="F1388996">
      <w:start w:val="1"/>
      <w:numFmt w:val="bullet"/>
      <w:lvlText w:val="●"/>
      <w:lvlJc w:val="left"/>
      <w:pPr>
        <w:ind w:left="720" w:hanging="360"/>
      </w:pPr>
    </w:lvl>
    <w:lvl w:ilvl="1" w:tplc="D68EA384">
      <w:start w:val="1"/>
      <w:numFmt w:val="bullet"/>
      <w:lvlText w:val="○"/>
      <w:lvlJc w:val="left"/>
      <w:pPr>
        <w:ind w:left="1440" w:hanging="360"/>
      </w:pPr>
    </w:lvl>
    <w:lvl w:ilvl="2" w:tplc="7DE08696">
      <w:start w:val="1"/>
      <w:numFmt w:val="bullet"/>
      <w:lvlText w:val="■"/>
      <w:lvlJc w:val="left"/>
      <w:pPr>
        <w:ind w:left="2160" w:hanging="360"/>
      </w:pPr>
    </w:lvl>
    <w:lvl w:ilvl="3" w:tplc="B89CAB90">
      <w:start w:val="1"/>
      <w:numFmt w:val="bullet"/>
      <w:lvlText w:val="●"/>
      <w:lvlJc w:val="left"/>
      <w:pPr>
        <w:ind w:left="2880" w:hanging="360"/>
      </w:pPr>
    </w:lvl>
    <w:lvl w:ilvl="4" w:tplc="626AEFB2">
      <w:start w:val="1"/>
      <w:numFmt w:val="bullet"/>
      <w:lvlText w:val="○"/>
      <w:lvlJc w:val="left"/>
      <w:pPr>
        <w:ind w:left="3600" w:hanging="360"/>
      </w:pPr>
    </w:lvl>
    <w:lvl w:ilvl="5" w:tplc="0442D43E">
      <w:start w:val="1"/>
      <w:numFmt w:val="bullet"/>
      <w:lvlText w:val="■"/>
      <w:lvlJc w:val="left"/>
      <w:pPr>
        <w:ind w:left="4320" w:hanging="360"/>
      </w:pPr>
    </w:lvl>
    <w:lvl w:ilvl="6" w:tplc="07CA3FE4">
      <w:start w:val="1"/>
      <w:numFmt w:val="bullet"/>
      <w:lvlText w:val="●"/>
      <w:lvlJc w:val="left"/>
      <w:pPr>
        <w:ind w:left="5040" w:hanging="360"/>
      </w:pPr>
    </w:lvl>
    <w:lvl w:ilvl="7" w:tplc="6E32DDEC">
      <w:start w:val="1"/>
      <w:numFmt w:val="bullet"/>
      <w:lvlText w:val="●"/>
      <w:lvlJc w:val="left"/>
      <w:pPr>
        <w:ind w:left="5760" w:hanging="360"/>
      </w:pPr>
    </w:lvl>
    <w:lvl w:ilvl="8" w:tplc="54FA7DF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753"/>
    <w:rsid w:val="000821D4"/>
    <w:rsid w:val="001A7347"/>
    <w:rsid w:val="001D223D"/>
    <w:rsid w:val="002511B9"/>
    <w:rsid w:val="00293753"/>
    <w:rsid w:val="002C35A4"/>
    <w:rsid w:val="002C3C40"/>
    <w:rsid w:val="00300F05"/>
    <w:rsid w:val="00312762"/>
    <w:rsid w:val="003D3FC2"/>
    <w:rsid w:val="00427DEA"/>
    <w:rsid w:val="004439E5"/>
    <w:rsid w:val="004D5ABB"/>
    <w:rsid w:val="004E7CFF"/>
    <w:rsid w:val="005420D8"/>
    <w:rsid w:val="00611D55"/>
    <w:rsid w:val="006152B3"/>
    <w:rsid w:val="006B6C0D"/>
    <w:rsid w:val="00747576"/>
    <w:rsid w:val="00766CDB"/>
    <w:rsid w:val="00845F0A"/>
    <w:rsid w:val="008B0B66"/>
    <w:rsid w:val="00915F65"/>
    <w:rsid w:val="009630FE"/>
    <w:rsid w:val="00A63B63"/>
    <w:rsid w:val="00AE15A7"/>
    <w:rsid w:val="00B24A61"/>
    <w:rsid w:val="00B539ED"/>
    <w:rsid w:val="00C51685"/>
    <w:rsid w:val="00D154AF"/>
    <w:rsid w:val="00DD3B91"/>
    <w:rsid w:val="00E15F17"/>
    <w:rsid w:val="00E23980"/>
    <w:rsid w:val="00E42B04"/>
    <w:rsid w:val="00E77F58"/>
    <w:rsid w:val="00EC7387"/>
    <w:rsid w:val="00ED032F"/>
    <w:rsid w:val="00F7280D"/>
    <w:rsid w:val="00FA7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00B678-7A26-4E81-A50C-98580502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787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26</Pages>
  <Words>9614</Words>
  <Characters>54804</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35</cp:revision>
  <dcterms:created xsi:type="dcterms:W3CDTF">2026-08-14T01:57:00Z</dcterms:created>
  <dcterms:modified xsi:type="dcterms:W3CDTF">2026-08-14T06:48:00Z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c349eb75-ef99-4917-9f90-a28e58d4f370</vt:lpwstr>
  </property>
</Properties>
</file>