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18704"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37D58BC8"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16603DA4"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05298915"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257CAF91" w14:textId="77777777" w:rsidR="0010607A" w:rsidRDefault="00886EB8" w:rsidP="00E109A4">
      <w:pPr>
        <w:spacing w:after="0" w:line="240" w:lineRule="auto"/>
        <w:jc w:val="center"/>
        <w:rPr>
          <w:rFonts w:cs="Segoe UI"/>
          <w:b/>
        </w:rPr>
      </w:pPr>
      <w:r>
        <w:rPr>
          <w:rFonts w:cs="Segoe UI"/>
          <w:b/>
        </w:rPr>
        <w:t>Universitas Kristen Indonesia Paulus</w:t>
      </w:r>
    </w:p>
    <w:p w14:paraId="3B680559"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20A1FF9A"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01D76960"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3FF244B8" w14:textId="77777777" w:rsidR="00676A1B" w:rsidRPr="00237E4A" w:rsidRDefault="006F20C0" w:rsidP="00100027">
      <w:pPr>
        <w:tabs>
          <w:tab w:val="right" w:pos="9026"/>
        </w:tabs>
        <w:spacing w:after="0" w:line="240" w:lineRule="auto"/>
        <w:jc w:val="center"/>
        <w:rPr>
          <w:rFonts w:cs="Segoe UI"/>
          <w:b/>
          <w:sz w:val="30"/>
          <w:szCs w:val="30"/>
        </w:rPr>
      </w:pPr>
      <w:r>
        <w:rPr>
          <w:rFonts w:cs="Segoe UI"/>
          <w:b/>
          <w:bCs/>
          <w:sz w:val="30"/>
          <w:szCs w:val="30"/>
          <w:lang w:val="id"/>
        </w:rPr>
        <w:t>Rekonstruksi Pertanggungjawaban Pidana Korporasi: Integrasi Keadilan Restoratif, Deferred Prosecution Agreement, dan Akuntabilitas Kecerdasan Buatan</w:t>
      </w:r>
    </w:p>
    <w:p w14:paraId="4C430D34" w14:textId="77777777" w:rsidR="00100027" w:rsidRPr="00237E4A" w:rsidRDefault="00100027" w:rsidP="007677D4">
      <w:pPr>
        <w:tabs>
          <w:tab w:val="right" w:pos="9026"/>
        </w:tabs>
        <w:spacing w:after="0" w:line="240" w:lineRule="auto"/>
        <w:jc w:val="left"/>
        <w:rPr>
          <w:rFonts w:cs="Segoe UI"/>
          <w:i/>
          <w:sz w:val="24"/>
          <w:szCs w:val="20"/>
        </w:rPr>
      </w:pPr>
    </w:p>
    <w:p w14:paraId="435E63E0" w14:textId="77777777" w:rsidR="00361A98" w:rsidRPr="00C676AF" w:rsidRDefault="00361A98" w:rsidP="00676A1B">
      <w:pPr>
        <w:tabs>
          <w:tab w:val="right" w:pos="9026"/>
        </w:tabs>
        <w:spacing w:after="0" w:line="240" w:lineRule="auto"/>
        <w:rPr>
          <w:rFonts w:cs="Segoe UI"/>
          <w:sz w:val="20"/>
          <w:szCs w:val="20"/>
        </w:rPr>
      </w:pPr>
    </w:p>
    <w:p w14:paraId="172A5601" w14:textId="77777777"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Jeremia Bony Vatius Immanuel Rondonuwu</w:t>
      </w:r>
      <w:r>
        <w:rPr>
          <w:rFonts w:cs="Segoe UI"/>
          <w:b/>
          <w:bCs/>
          <w:sz w:val="24"/>
          <w:szCs w:val="24"/>
          <w:vertAlign w:val="superscript"/>
          <w:lang w:val="fi-FI"/>
        </w:rPr>
        <w:t>1*</w:t>
      </w:r>
    </w:p>
    <w:p w14:paraId="4E321EBB"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73D1D8E0" w14:textId="58D82CC9" w:rsidR="00BE12F5" w:rsidRPr="007677D4" w:rsidRDefault="00633B05" w:rsidP="00241D17">
      <w:pPr>
        <w:tabs>
          <w:tab w:val="right" w:pos="9026"/>
        </w:tabs>
        <w:spacing w:after="0" w:line="240" w:lineRule="auto"/>
        <w:rPr>
          <w:rFonts w:cs="Segoe UI"/>
          <w:i/>
          <w:sz w:val="18"/>
          <w:szCs w:val="18"/>
          <w:lang w:val="en-US"/>
        </w:rPr>
      </w:pPr>
      <w:r w:rsidRPr="00633B05">
        <w:rPr>
          <w:rFonts w:cs="Segoe UI"/>
          <w:i/>
          <w:sz w:val="18"/>
          <w:szCs w:val="18"/>
          <w:lang w:val="fi-FI"/>
        </w:rPr>
        <w:t>jeremiabir82@gmail.com</w:t>
      </w:r>
      <w:r w:rsidR="006F20C0">
        <w:rPr>
          <w:rFonts w:cs="Segoe UI"/>
          <w:i/>
          <w:sz w:val="18"/>
          <w:szCs w:val="18"/>
          <w:lang w:val="fi-FI"/>
        </w:rPr>
        <w:t xml:space="preserve"> </w:t>
      </w:r>
      <w:r w:rsidR="006F20C0">
        <w:rPr>
          <w:rFonts w:cs="Segoe UI"/>
          <w:i/>
          <w:sz w:val="18"/>
          <w:szCs w:val="18"/>
          <w:lang w:val="en-US"/>
        </w:rPr>
        <w:t>(Korespondensi)*</w:t>
      </w:r>
    </w:p>
    <w:p w14:paraId="547A0D9F"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49666055" w14:textId="77777777" w:rsidTr="00550BFE">
        <w:trPr>
          <w:trHeight w:val="189"/>
        </w:trPr>
        <w:tc>
          <w:tcPr>
            <w:tcW w:w="1171" w:type="pct"/>
            <w:tcBorders>
              <w:top w:val="single" w:sz="4" w:space="0" w:color="auto"/>
              <w:bottom w:val="single" w:sz="4" w:space="0" w:color="auto"/>
            </w:tcBorders>
          </w:tcPr>
          <w:p w14:paraId="69697D87"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0F018C0C"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4970901D" w14:textId="77777777" w:rsidTr="00550BFE">
        <w:trPr>
          <w:trHeight w:val="1678"/>
        </w:trPr>
        <w:tc>
          <w:tcPr>
            <w:tcW w:w="1171" w:type="pct"/>
            <w:tcBorders>
              <w:top w:val="single" w:sz="4" w:space="0" w:color="auto"/>
              <w:bottom w:val="single" w:sz="4" w:space="0" w:color="auto"/>
            </w:tcBorders>
          </w:tcPr>
          <w:p w14:paraId="778A6AA7"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142A7757" w14:textId="77777777"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corporate criminal liability, restorative justice, deferred prosecution agreement, artificial intelligence accountability, modern criminal justice system, legal reconstruction</w:t>
            </w:r>
          </w:p>
          <w:p w14:paraId="3C310305" w14:textId="77777777" w:rsidR="001E0508" w:rsidRPr="00332E82" w:rsidRDefault="001E0508" w:rsidP="00417363">
            <w:pPr>
              <w:spacing w:after="0" w:line="240" w:lineRule="auto"/>
              <w:rPr>
                <w:rFonts w:eastAsia="Times New Roman" w:cs="Segoe UI"/>
                <w:b/>
                <w:iCs/>
                <w:color w:val="181717"/>
                <w:sz w:val="20"/>
                <w:szCs w:val="20"/>
                <w:lang w:val="en-US"/>
              </w:rPr>
            </w:pPr>
          </w:p>
          <w:p w14:paraId="3F4DBC6B"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24423A67" w14:textId="77777777"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pertanggungjawaban pidana korporasi, keadilan restoratif, deferred prosecution agreement, akuntabilitas kecerdasan buatan, sistem peradilan pidana modern, rekonstruksi hukum</w:t>
            </w:r>
          </w:p>
        </w:tc>
        <w:tc>
          <w:tcPr>
            <w:tcW w:w="3829" w:type="pct"/>
            <w:tcBorders>
              <w:top w:val="single" w:sz="4" w:space="0" w:color="auto"/>
              <w:bottom w:val="single" w:sz="4" w:space="0" w:color="auto"/>
            </w:tcBorders>
          </w:tcPr>
          <w:p w14:paraId="1BC7399E" w14:textId="77777777"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Corporate crime in the digital era exposes the structural limits of Indonesia’s corporate criminal liability regime, which remains repressive, fragmented across sectoral statutes, and silent on the use of artificial intelligence (AI) in corporate decision-making. This study reconstructs the concept of corporate criminal liability within Indonesia’s modern criminal justice system by integrating restorative justice, the Deferred Prosecution Agreement (DPA), and AI accountability. Employing normative legal research of a prescriptive-analytical character, the study combines statutory, conceptual, comparative, and case approaches, drawing on Law Number 1 of 2023 on the Criminal Code, Law Number 20 of 2025 on Criminal Procedure, Supreme Court Regulation Number 13 of 2016, and comparative practice in the United States, the United Kingdom, the Netherlands, and the European Union. The findings identify three persistent weaknesses: the ambiguity of corporate fault standards, the marginal position of victim recovery, and a responsibility gap in algorithmic decision-making. Restorative justice reorients settlement toward recovery and compliance; DPA offers supervised, negotiated resolution without destroying economically significant entities; and algorithmic accountability extends corporate fault to failures of technology governance. The study proposes an integrated three-pillar model, operable only under strict judicial control, transparency, and institutional capacity, so that flexibility does not become impunity.</w:t>
            </w:r>
          </w:p>
          <w:p w14:paraId="44FA1EB7" w14:textId="77777777" w:rsidR="001E0508" w:rsidRPr="00C676AF" w:rsidRDefault="001E0508" w:rsidP="001E0508">
            <w:pPr>
              <w:spacing w:after="0" w:line="240" w:lineRule="auto"/>
              <w:rPr>
                <w:rFonts w:eastAsia="Times New Roman" w:cs="Segoe UI"/>
                <w:sz w:val="20"/>
                <w:szCs w:val="20"/>
              </w:rPr>
            </w:pPr>
          </w:p>
          <w:p w14:paraId="4A7934C9" w14:textId="77777777" w:rsidR="00886EB8" w:rsidRDefault="00886EB8" w:rsidP="001E0508">
            <w:pPr>
              <w:spacing w:after="0" w:line="240" w:lineRule="auto"/>
              <w:rPr>
                <w:rFonts w:eastAsia="Times New Roman" w:cs="Segoe UI"/>
                <w:b/>
                <w:iCs/>
                <w:sz w:val="20"/>
                <w:szCs w:val="20"/>
              </w:rPr>
            </w:pPr>
          </w:p>
          <w:p w14:paraId="26EAE8D9" w14:textId="77777777"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Kejahatan korporasi di era digital memperlihatkan keterbatasan struktural sistem pertanggungjawaban pidana korporasi Indonesia yang masih represif, tersebar dalam undang-undang sektoral, dan belum mengatur penggunaan kecerdasan buatan (Artificial Intelligence/AI) dalam pengambilan keputusan korporasi. Penelitian ini bertujuan merekonstruksi konsep pertanggungjawaban pidana korporasi dalam sistem peradilan pidana modern Indonesia melalui integrasi keadilan restoratif, Deferred </w:t>
            </w:r>
            <w:r>
              <w:rPr>
                <w:rFonts w:cs="Segoe UI"/>
                <w:color w:val="000000"/>
                <w:sz w:val="20"/>
                <w:szCs w:val="20"/>
                <w:shd w:val="clear" w:color="auto" w:fill="FFFFFF"/>
              </w:rPr>
              <w:lastRenderedPageBreak/>
              <w:t>Prosecution Agreement (DPA), dan akuntabilitas kecerdasan buatan. Penelitian menggunakan metode hukum normatif berkarakter preskriptif-analitis dengan pendekatan perundang-undangan, konseptual, perbandingan, dan kasus, bertumpu pada Undang-Undang Nomor 1 Tahun 2023 tentang Kitab Undang-Undang Hukum Pidana, Undang-Undang Nomor 20 Tahun 2025 tentang Hukum Acara Pidana, Peraturan Mahkamah Agung Nomor 13 Tahun 2016, serta praktik perbandingan di Amerika Serikat, Inggris, Belanda, dan Uni Eropa. Hasil penelitian menemukan tiga kelemahan yang bertahan: ketidakjelasan standar kesalahan korporasi, lemahnya posisi pemulihan korban, dan kekosongan pertanggungjawaban pada keputusan algoritmik. Keadilan restoratif mengarahkan penyelesaian pada pemulihan dan kepatuhan; DPA membuka penyelesaian ternegosiasi yang terawasi tanpa mematikan entitas ekonomi; sedangkan akuntabilitas algoritmik memperluas kesalahan korporasi pada kegagalan tata kelola teknologi. Penelitian menawarkan model tiga pilar terintegrasi yang hanya dapat dioperasikan di bawah kontrol yudisial, transparansi, dan penguatan kapasitas kelembagaan.</w:t>
            </w:r>
          </w:p>
          <w:p w14:paraId="1CF3A0E7" w14:textId="77777777" w:rsidR="001E0508" w:rsidRPr="00237E4A" w:rsidRDefault="001E0508" w:rsidP="001E0508">
            <w:pPr>
              <w:spacing w:after="0" w:line="240" w:lineRule="auto"/>
              <w:rPr>
                <w:rFonts w:eastAsia="Times New Roman" w:cs="Segoe UI"/>
                <w:iCs/>
                <w:sz w:val="20"/>
                <w:szCs w:val="20"/>
                <w:lang w:val="sv-SE"/>
              </w:rPr>
            </w:pPr>
          </w:p>
        </w:tc>
      </w:tr>
      <w:tr w:rsidR="00241D17" w:rsidRPr="00C676AF" w14:paraId="32F5BD59" w14:textId="77777777" w:rsidTr="00550BFE">
        <w:trPr>
          <w:trHeight w:val="161"/>
        </w:trPr>
        <w:tc>
          <w:tcPr>
            <w:tcW w:w="5000" w:type="pct"/>
            <w:gridSpan w:val="2"/>
            <w:tcBorders>
              <w:top w:val="single" w:sz="4" w:space="0" w:color="auto"/>
              <w:bottom w:val="single" w:sz="4" w:space="0" w:color="auto"/>
            </w:tcBorders>
          </w:tcPr>
          <w:p w14:paraId="7E558C56" w14:textId="6B0275E3"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xml:space="preserve">:  </w:t>
            </w:r>
            <w:r w:rsidR="00237E4A">
              <w:rPr>
                <w:rFonts w:cs="Segoe UI"/>
                <w:sz w:val="20"/>
                <w:szCs w:val="20"/>
              </w:rPr>
              <w:t>Diterima: ……………, Disetujui: ……………, Dipublikasikan: …………… (diisi oleh panitia)</w:t>
            </w:r>
          </w:p>
        </w:tc>
      </w:tr>
    </w:tbl>
    <w:p w14:paraId="186DCDC9" w14:textId="77777777"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477C5250" w14:textId="77777777" w:rsidR="00DC6661" w:rsidRDefault="00000000">
      <w:pPr>
        <w:pStyle w:val="Heading3"/>
        <w:ind w:left="1134" w:right="322" w:hanging="425"/>
      </w:pPr>
      <w:r>
        <w:t>PENDAHULUAN</w:t>
      </w:r>
    </w:p>
    <w:p w14:paraId="076EAD0B"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Globalisasi ekonomi, digitalisasi, dan revolusi industri 4.0 telah mengubah secara fundamental struktur relasi ekonomi dan sosial, sekaligus mengubah posisi korporasi dalam tata kelola kehidupan publik. Korporasi modern tidak lagi semata-mata entitas ekonomi yang berorientasi keuntungan, melainkan aktor strategis yang memengaruhi kebijakan publik, stabilitas ekonomi nasional, kelestarian lingkungan hidup, dan pemenuhan hak asasi manusia. Pada sektor-sektor tertentu, kapasitas ekonomi korporasi bahkan melampaui kemampuan pengawasan negara sehingga melahirkan ketimpangan kekuasaan yang berpotensi menimbulkan penyimpangan hukum berskala luas. Kondisi tersebut termanifestasi dalam meningkatnya praktik kejahatan korporasi berupa korupsi, pencucian uang, manipulasi pasar, eksploitasi sumber daya alam, pelanggaran hak pekerja, hingga penyalahgunaan teknologi digital (Garcia-Segura, 2024; Kusuma et al., 2025). Karakter kejahatan korporasi yang terorganisasi, sistematis, dan berdampak kolektif menuntut sistem hukum pidana yang tidak sekadar menghukum, tetapi mampu mengoreksi perilaku kelembagaan.</w:t>
      </w:r>
    </w:p>
    <w:p w14:paraId="3BF13AA4"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Secara historis, hukum pidana Indonesia dibangun di atas paradigma klasik warisan kolonial melalui Wetboek van Strafrecht yang menganut asas societas delinquere non potest, yakni doktrin yang menolak kemungkinan badan hukum dipidana (Mukhlis R &amp; Sipatuhar, 2024). Paradigma tersebut bertumpu pada asumsi bahwa hanya manusia alamiah yang memiliki kehendak dan kesalahan (mens rea), sehingga hanya individu yang dapat dimintai pertanggungjawaban pidana (Prasetyo et al., 2024). Konsekuensi praktisnya, sanksi lebih sering dibebankan kepada pengurus, sementara korporasi sebagai penerima manfaat utama tindak pidana tetap dapat melanjutkan aktivitas ekonominya tanpa kewajiban pemulihan yang memadai bagi korban maupun masyarakat (Hersyanda et al., 2024). Terdapat kesenjangan normatif antara realitas korporasi modern dan konstruksi hukum pidana yang masih individualistik.</w:t>
      </w:r>
    </w:p>
    <w:p w14:paraId="30636F89"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Hukum nasional kemudian mengakomodasi pertanggungjawaban pidana korporasi secara bertahap melalui undang-undang sektoral, antara lain di bidang pemberantasan tindak pidana korupsi, perlindungan dan pengelolaan lingkungan hidup, serta pencegahan dan pemberantasan </w:t>
      </w:r>
      <w:r>
        <w:rPr>
          <w:rStyle w:val="longtext"/>
          <w:rFonts w:ascii="Segoe UI" w:hAnsi="Segoe UI" w:cs="Segoe UI"/>
          <w:sz w:val="22"/>
          <w:szCs w:val="22"/>
          <w:shd w:val="clear" w:color="auto" w:fill="FFFFFF"/>
          <w:lang w:val="id-ID"/>
        </w:rPr>
        <w:lastRenderedPageBreak/>
        <w:t>tindak pidana pencucian uang. Penerbitan Peraturan Mahkamah Agung Nomor 13 Tahun 2016 tentang Tata Cara Penanganan Perkara Tindak Pidana oleh Korporasi menjadi tonggak penting karena mengisi kekosongan hukum acara dalam mendudukkan korporasi sebagai terdakwa. Meskipun demikian, pengaturan tersebut bersifat fragmentaris dan belum melahirkan standar pemidanaan yang seragam (Fadhila, 2024). Ketiadaan parameter kesalahan korporasi yang tunggal berimplikasi pada disparitas sanksi, kesulitan pembuktian, dan ketidakpastian hukum bagi dunia usaha maupun aparat penegak hukum (Rahayu et al., 2023).</w:t>
      </w:r>
    </w:p>
    <w:p w14:paraId="71BA98F5"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Persoalan tersebut diperberat oleh lemahnya orientasi pemulihan dalam penegakan hukum pidana korporasi. Kerugian yang ditimbulkan kejahatan korporasi umumnya bersifat kolektif dan multidimensional, mencakup kerusakan lingkungan, kerugian keuangan negara, pelanggaran hak pekerja, hingga kerugian konsumen, sehingga tidak dapat dipulihkan melalui pidana denda yang masuk ke kas negara semata (Yusuf, 2022; Justiasari et al., 2024). Pemidanaan berat seperti pembubaran korporasi pun menyimpan dilema karena berpotensi menimbulkan dampak ikutan berupa pemutusan hubungan kerja massal dan instabilitas pasar yang justru dipikul pihak yang tidak bersalah (Zakaria et al., 2024). Efektivitas penegakan hukum korporasi karena itu tidak dapat diukur semata-mata dari berat ringannya sanksi.</w:t>
      </w:r>
    </w:p>
    <w:p w14:paraId="1E8AE611"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Transformasi besar terjadi melalui pengesahan legislasi pidana modern, yakni Undang-Undang Nomor 1 Tahun 2023 tentang Kitab Undang-Undang Hukum Pidana yang berlaku efektif pada 2 Januari 2026, Undang-Undang Nomor 20 Tahun 2025 tentang Hukum Acara Pidana, serta undang-undang penyesuaian pidana yang menyertainya. KUHP Nasional menegaskan korporasi sebagai subjek tindak pidana mandiri dan mengatur pembebanan pertanggungjawaban beserta jenis pidana yang dapat dijatuhkan terhadapnya (Nainggolan, 2025). Dalam kerangka pembaruan tersebut berkembang pula wacana Deferred Prosecution Agreement (DPA), yakni mekanisme penundaan penuntutan terhadap korporasi dengan syarat kompensasi, reformasi internal, program kepatuhan, dan pengawasan independen (Nelson, 2022; Zhou, 2025). Kehadiran wacana ini menandai pergeseran orientasi dari paradigma retributif menuju pendekatan korektif dan restoratif.</w:t>
      </w:r>
    </w:p>
    <w:p w14:paraId="51A8E5C7"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Pada saat yang sama, penggunaan kecerdasan buatan (Artificial Intelligence/AI) dalam tata kelola korporasi menghadirkan tantangan hukum baru. AI dipakai dalam penilaian kredit, perdagangan digital, analisis data konsumen, hingga otomatisasi keputusan operasional, sehingga sebagian tindakan korporasi berlangsung semi-otonom tanpa intervensi manusia secara langsung (Elpina, 2024). Ketika keputusan algoritmik menimbulkan kerugian publik, diskriminasi, atau manipulasi pasar, atribusi kesalahan menjadi problematis karena konsep mens rea berbasis niat manusia tidak sepenuhnya dapat diterapkan (Harahap et al., 2025; Cutolo, 2024). Situasi inilah yang dalam literatur disebut sebagai responsibility gap.</w:t>
      </w:r>
    </w:p>
    <w:p w14:paraId="5783E7B2"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Sejumlah penelitian terdahulu telah membahas isu-isu tersebut secara terpisah. Arlen (1994) menunjukkan bahwa pembebanan pertanggungjawaban pidana korporasi yang terlalu kaku dapat menimbulkan efek yang kontraproduktif karena melemahkan insentif korporasi untuk melakukan pemantauan dan pelaporan internal, sehingga diperlukan desain sanksi yang mendorong kepatuhan. Nelson (2022) serta Taniady et al. (2023) mengkaji peluang adopsi DPA dalam kerangka antikorupsi Indonesia, sementara Alaydrus (2025) dan Zakaria et al. (2024) menyoroti prasyarat normatif penerapannya. Cutolo (2024) menegaskan perlunya rekonstruksi konsep kesalahan korporasi akibat pengalihan pengambilan keputusan kepada sistem algoritmik, dan Ruslan (2025) serta Kamaluddin dan Mukminah (2025) memperlihatkan potensi pendekatan restoratif dalam memulihkan korban dan memperkuat budaya kepatuhan.</w:t>
      </w:r>
    </w:p>
    <w:p w14:paraId="7A5C80C9"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lastRenderedPageBreak/>
        <w:t>Berbeda dengan penelitian-penelitian tersebut yang menempatkan keadilan restoratif, DPA, dan akuntabilitas AI sebagai isu yang berdiri sendiri, penelitian ini menitikberatkan pada integrasi ketiganya sebagai satu kerangka pertanggungjawaban yang saling menopang dalam konteks hukum pidana Indonesia pascaberlakunya KUHP Nasional dan KUHAP baru. Kesenjangan riset yang hendak diisi bukan terletak pada ketiadaan kajian atas masing-masing elemen, melainkan pada belum tersedianya konstruksi normatif yang menjelaskan bagaimana ketiga instrumen tersebut dapat dioperasikan secara simultan tanpa saling meniadakan, khususnya ketika fleksibilitas penyelesaian berhadapan dengan tuntutan akuntabilitas publik.</w:t>
      </w:r>
    </w:p>
    <w:p w14:paraId="49C59927"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Berdasarkan uraian tersebut, penelitian ini bertujuan menganalisis kelemahan struktural pertanggungjawaban pidana korporasi dalam hukum positif Indonesia serta merumuskan model rekonstruksinya melalui integrasi keadilan restoratif, Deferred Prosecution Agreement, dan akuntabilitas kecerdasan buatan. Secara teoretis, penelitian ini memperluas doktrin kesalahan korporasi dengan memasukkan kegagalan tata kelola teknologi sebagai bentuk kesalahan kelembagaan. Secara praktis, penelitian ini menawarkan rambu normatif bagi pembentuk undang-undang, penuntut umum, dan pengadilan dalam mendesain penyelesaian perkara korporasi yang efektif, memulihkan, dan tetap akuntabel.</w:t>
      </w:r>
    </w:p>
    <w:p w14:paraId="3C914A01" w14:textId="77777777" w:rsidR="00DC6661" w:rsidRDefault="00000000">
      <w:pPr>
        <w:pStyle w:val="Heading3"/>
        <w:ind w:left="1134" w:right="322" w:hanging="425"/>
      </w:pPr>
      <w:r>
        <w:t>METODOLOGI PENELITIAN</w:t>
      </w:r>
    </w:p>
    <w:p w14:paraId="2CD0E43A" w14:textId="77777777" w:rsidR="00DC6661" w:rsidRDefault="00000000">
      <w:pPr>
        <w:pStyle w:val="Heading2"/>
        <w:rPr>
          <w:shd w:val="clear" w:color="auto" w:fill="FFFFFF"/>
        </w:rPr>
      </w:pPr>
      <w:r>
        <w:rPr>
          <w:shd w:val="clear" w:color="auto" w:fill="FFFFFF"/>
        </w:rPr>
        <w:t>2.1 Jenis dan Sifat Penelitian</w:t>
      </w:r>
    </w:p>
    <w:p w14:paraId="64D05312"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Penelitian ini merupakan penelitian hukum normatif (normative legal research) yang bersifat preskriptif-analitis. Objek kajiannya adalah norma hukum, asas hukum, doktrin, serta arah kebijakan legislasi yang berkaitan dengan pertanggungjawaban pidana korporasi (Rosidi et al., 2024). Pilihan metode ini didasarkan pada karakter permasalahan yang dikaji, yaitu kekaburan norma dan kekosongan pengaturan, bukan pengukuran variabel empiris. Sifat preskriptif diperlukan karena penelitian tidak berhenti pada deskripsi keadaan hukum yang berlaku, melainkan diarahkan pada perumusan model hukum yang seharusnya dibangun (ius constituendum) untuk merespons pembaruan hukum pidana nasional pascaberlakunya KUHP Nasional dan KUHAP baru serta perkembangan teknologi kecerdasan buatan.</w:t>
      </w:r>
    </w:p>
    <w:p w14:paraId="270FB6C0"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Karakter preskriptif tersebut menuntut kejelasan mengenai batas kajian. Penelitian ini tidak menilai kinerja institusi penegak hukum secara empiris, melainkan menguji kemampuan norma yang berlaku dalam menjawab persoalan pertanggungjawaban korporasi yang bersifat sistemik dan berbasis teknologi. Rumusan masalah yang dijawab meliputi dua hal, yaitu bagaimana kelemahan struktural pengaturan pertanggungjawaban pidana korporasi dalam hukum positif Indonesia, dan bagaimana model rekonstruksinya melalui integrasi keadilan restoratif, Deferred Prosecution Agreement, dan akuntabilitas kecerdasan buatan. Kedua rumusan tersebut menentukan struktur analisis pada bagian hasil dan pembahasan, sehingga setiap temuan dapat ditelusuri kembali pada pertanyaan penelitian yang melatarinya.</w:t>
      </w:r>
    </w:p>
    <w:p w14:paraId="20E2BC18" w14:textId="77777777" w:rsidR="00DC6661" w:rsidRDefault="00000000">
      <w:pPr>
        <w:pStyle w:val="Heading2"/>
        <w:rPr>
          <w:shd w:val="clear" w:color="auto" w:fill="FFFFFF"/>
        </w:rPr>
      </w:pPr>
      <w:r>
        <w:rPr>
          <w:shd w:val="clear" w:color="auto" w:fill="FFFFFF"/>
        </w:rPr>
        <w:t>2.2 Pendekatan Penelitian</w:t>
      </w:r>
    </w:p>
    <w:p w14:paraId="35569E1D"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Penelitian menggunakan empat pendekatan yang saling melengkapi (Suhaimi, 2018; Aksa et al., 2025). Pendekatan perundang-undangan (statute approach) digunakan untuk menelaah Undang-Undang Nomor 1 Tahun 2023 tentang Kitab Undang-Undang Hukum Pidana, Undang-Undang Nomor 20 Tahun 2025 tentang Hukum Acara Pidana, Peraturan Mahkamah Agung Nomor 13 Tahun 2016, serta undang-undang sektoral di bidang tindak pidana korupsi, lingkungan hidup, pencucian uang, dan informasi dan transaksi elektronik. Pendekatan konseptual (conceptual </w:t>
      </w:r>
      <w:r>
        <w:rPr>
          <w:rStyle w:val="longtext"/>
          <w:rFonts w:ascii="Segoe UI" w:hAnsi="Segoe UI" w:cs="Segoe UI"/>
          <w:sz w:val="22"/>
          <w:szCs w:val="22"/>
          <w:shd w:val="clear" w:color="auto" w:fill="FFFFFF"/>
          <w:lang w:val="id-ID"/>
        </w:rPr>
        <w:lastRenderedPageBreak/>
        <w:t>approach) dipakai untuk menguji daya jelas doktrin strict liability, vicarious liability, identification theory, dan corporate culture model dalam menjelaskan kesalahan korporasi. Pendekatan perbandingan (comparative approach) diarahkan pada praktik Amerika Serikat, Inggris, dan Belanda yang telah mengenal penyelesaian ternegosiasi terhadap korporasi, serta pengaturan tata kelola kecerdasan buatan di Uni Eropa. Pendekatan kasus (case approach) digunakan secara terbatas untuk menilai konsistensi penerapan norma dalam praktik peradilan terhadap korporasi.</w:t>
      </w:r>
    </w:p>
    <w:p w14:paraId="56FC9D9E" w14:textId="77777777" w:rsidR="00DC6661" w:rsidRDefault="00000000">
      <w:pPr>
        <w:pStyle w:val="Heading2"/>
        <w:rPr>
          <w:shd w:val="clear" w:color="auto" w:fill="FFFFFF"/>
        </w:rPr>
      </w:pPr>
      <w:r>
        <w:rPr>
          <w:shd w:val="clear" w:color="auto" w:fill="FFFFFF"/>
        </w:rPr>
        <w:t>2.3 Bahan Hukum dan Teknik Pengumpulan</w:t>
      </w:r>
    </w:p>
    <w:p w14:paraId="3437A37F"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Bahan hukum primer meliputi peraturan perundang-undangan dan putusan pengadilan yang berkaitan dengan tindak pidana korporasi. Bahan hukum sekunder mencakup artikel jurnal ilmiah nasional dan internasional, buku akademik, serta hasil penelitian terdahulu yang relevan dengan keadilan restoratif, Deferred Prosecution Agreement, dan akuntabilitas algoritmik. Bahan hukum tersier berupa kamus hukum dan ensiklopedia hukum digunakan untuk menjaga ketepatan peristilahan. Pengumpulan bahan hukum dilakukan melalui studi kepustakaan dan penelusuran dokumen resmi pada basis data hukum nasional serta pangkalan data jurnal ilmiah, dengan penapisan berdasarkan relevansi isu, otoritas sumber, dan kemutakhiran. Penapisan literatur dilakukan dengan mengutamakan artikel yang terbit dalam tujuh tahun terakhir, kecuali untuk karya klasik yang menjadi rujukan doktrinal utama dalam kajian pertanggungjawaban pidana korporasi. Terhadap setiap bahan hukum primer dilakukan verifikasi kesesuaian antara kutipan dan teks resmi peraturan guna menghindari kekeliruan penyebutan nomor pasal maupun nomenklatur undang-undang. Bahan hukum asing tidak diperlakukan sebagai norma yang berlaku, melainkan sebagai bahan perbandingan fungsional yang dinilai berdasarkan kesamaan persoalan yang hendak diselesaikan.</w:t>
      </w:r>
    </w:p>
    <w:p w14:paraId="55880498" w14:textId="77777777" w:rsidR="00DC6661" w:rsidRDefault="00000000">
      <w:pPr>
        <w:pStyle w:val="Heading2"/>
        <w:rPr>
          <w:shd w:val="clear" w:color="auto" w:fill="FFFFFF"/>
        </w:rPr>
      </w:pPr>
      <w:r>
        <w:rPr>
          <w:shd w:val="clear" w:color="auto" w:fill="FFFFFF"/>
        </w:rPr>
        <w:t>2.4 Kerangka Analisis Perbandingan Hukum</w:t>
      </w:r>
    </w:p>
    <w:p w14:paraId="5E2523AB"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Perbandingan hukum dalam penelitian ini menggunakan kerangka fungsional, yaitu membandingkan cara sistem hukum yang berbeda menyelesaikan persoalan yang sama, bukan membandingkan kemiripan rumusan pasal. Tiga variabel dijadikan tolok ukur, yakni landasan hukum penyelesaian ternegosiasi terhadap korporasi, kadar kontrol dan pengawasan terhadap kesepakatan yang dicapai, serta ketersediaan pengaturan mengenai akuntabilitas penggunaan kecerdasan buatan. Ketiga variabel tersebut dipilih karena secara langsung berkaitan dengan rumusan masalah penelitian dan memungkinkan penilaian mengenai unsur mana yang dapat ditransplantasikan ke dalam sistem hukum Indonesia. Penilaian transferabilitas dilakukan dengan mempertimbangkan perbedaan tradisi hukum, struktur kewenangan penuntutan, dan kapasitas kelembagaan, sehingga hasil perbandingan tidak diperlakukan sebagai rekomendasi adopsi otomatis. Hasil perbandingan tersebut kemudian disajikan dalam bentuk tabel agar perbedaan karakter antaryurisdiksi dapat dibaca secara sistematis.</w:t>
      </w:r>
    </w:p>
    <w:p w14:paraId="51D638E7" w14:textId="77777777" w:rsidR="00DC6661" w:rsidRDefault="00000000">
      <w:pPr>
        <w:pStyle w:val="Heading2"/>
        <w:rPr>
          <w:shd w:val="clear" w:color="auto" w:fill="FFFFFF"/>
        </w:rPr>
      </w:pPr>
      <w:r>
        <w:rPr>
          <w:shd w:val="clear" w:color="auto" w:fill="FFFFFF"/>
        </w:rPr>
        <w:t>2.5 Teknik Analisis Bahan Hukum</w:t>
      </w:r>
    </w:p>
    <w:p w14:paraId="2251D155"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Analisis dilakukan secara kualitatif melalui interpretasi hukum, argumentasi hukum, dan penalaran preskriptif. Tahap pertama adalah identifikasi kekosongan norma (normative gap), konflik norma (conflict of norms), dan kekaburan norma (vague norm) dalam pengaturan pertanggungjawaban pidana korporasi. Tahap kedua adalah analisis sinkronisasi vertikal dan horizontal antara KUHP Nasional, hukum acara pidana, Peraturan Mahkamah Agung Nomor 13 Tahun 2016, dan undang-undang sektoral. Tahap ketiga adalah komparasi fungsional terhadap praktik negara pembanding untuk menilai transferabilitas instrumennya ke dalam sistem hukum Indonesia, bukan sekadar mengadopsi bentuknya. Tahap keempat adalah sintesis preskriptif yang </w:t>
      </w:r>
      <w:r>
        <w:rPr>
          <w:rStyle w:val="longtext"/>
          <w:rFonts w:ascii="Segoe UI" w:hAnsi="Segoe UI" w:cs="Segoe UI"/>
          <w:sz w:val="22"/>
          <w:szCs w:val="22"/>
          <w:shd w:val="clear" w:color="auto" w:fill="FFFFFF"/>
          <w:lang w:val="id-ID"/>
        </w:rPr>
        <w:lastRenderedPageBreak/>
        <w:t>merumuskan model rekonstruksi pertanggungjawaban pidana korporasi beserta prasyarat kelembagaannya. Keseluruhan tahapan diuji konsistensinya terhadap tiga nilai dasar hukum, yaitu kepastian hukum, keadilan, dan kemanfaatan. Penarikan kesimpulan dilakukan secara deduktif, yakni bertolak dari asas dan norma umum menuju penilaian atas persoalan konkret yang dikaji, kemudian dilanjutkan dengan konstruksi preskriptif. Sebagai batas penelitian, kajian ini tidak menguji efektivitas empiris penerapan norma di lapangan dan tidak menggunakan data statistik penanganan perkara, sehingga simpulan yang dihasilkan berlaku pada tataran normatif dan konseptual serta terbuka untuk diuji melalui penelitian empiris lanjutan.</w:t>
      </w:r>
    </w:p>
    <w:p w14:paraId="37D8746F" w14:textId="77777777" w:rsidR="00DC6661" w:rsidRDefault="00000000">
      <w:pPr>
        <w:pStyle w:val="Heading2"/>
        <w:rPr>
          <w:shd w:val="clear" w:color="auto" w:fill="FFFFFF"/>
        </w:rPr>
      </w:pPr>
      <w:r>
        <w:rPr>
          <w:shd w:val="clear" w:color="auto" w:fill="FFFFFF"/>
        </w:rPr>
        <w:t>2.6 Validitas dan Keterbatasan Penelitian</w:t>
      </w:r>
    </w:p>
    <w:p w14:paraId="05F795E7"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Validitas penelitian normatif ditentukan oleh ketepatan bahan hukum dan konsistensi penalaran. Untuk itu, setiap proposisi hukum diuji melalui tiga saringan, yaitu kesesuaian dengan teks norma, konsistensi dengan asas hukum pidana, dan kelayakan penerapannya dalam praktik peradilan Indonesia. Bahan hukum yang tidak dapat diverifikasi kebenarannya tidak digunakan sebagai dasar argumentasi. Keterbatasan penelitian terletak pada belum tersedianya praktik penyelesaian ternegosiasi terhadap korporasi di Indonesia sebagai objek pengujian, sehingga penilaian atas kelayakan model bertumpu pada analisis komparatif dan proyeksi normatif. Keterbatasan tersebut tidak menghilangkan nilai kebaruan penelitian, tetapi menempatkan hasilnya sebagai kerangka awal yang perlu diuji melalui penelitian empiris dan evaluasi kebijakan setelah instrumen terkait diadopsi.</w:t>
      </w:r>
    </w:p>
    <w:p w14:paraId="063E6EA7" w14:textId="77777777" w:rsidR="00DC6661" w:rsidRDefault="00000000">
      <w:pPr>
        <w:pStyle w:val="Heading3"/>
        <w:ind w:left="1134" w:right="322" w:hanging="425"/>
      </w:pPr>
      <w:r>
        <w:t>HASIL DAN PEMBAHASAN</w:t>
      </w:r>
    </w:p>
    <w:p w14:paraId="2427A4D5" w14:textId="77777777" w:rsidR="00DC6661" w:rsidRDefault="00000000">
      <w:pPr>
        <w:pStyle w:val="Heading2"/>
        <w:rPr>
          <w:shd w:val="clear" w:color="auto" w:fill="FFFFFF"/>
        </w:rPr>
      </w:pPr>
      <w:r>
        <w:rPr>
          <w:shd w:val="clear" w:color="auto" w:fill="FFFFFF"/>
        </w:rPr>
        <w:t>3.1 Kelemahan Struktural Pertanggungjawaban Pidana Korporasi dalam Hukum Positif</w:t>
      </w:r>
    </w:p>
    <w:p w14:paraId="1FEB40A5"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Temuan pertama menunjukkan bahwa pengakuan korporasi sebagai subjek tindak pidana dalam KUHP Nasional belum otomatis menyelesaikan persoalan pembebanan kesalahan. Undang-Undang Nomor 1 Tahun 2023 memang menempatkan korporasi sebagai subjek tindak pidana mandiri dan mengatur pembebanan pertanggungjawaban berdasarkan tindakan yang dilakukan oleh pengurus atau pihak yang memiliki kedudukan fungsional dalam korporasi, disertai jenis pidana pokok dan tambahan yang khas bagi korporasi. Namun, rumusan tersebut masih menyisakan ruang penafsiran yang lebar mengenai kapan suatu perbuatan dianggap dilakukan “untuk dan atas nama korporasi” atau “dalam lingkup usaha korporasi”. Secara yuridis, kekaburan ini berpangkal pada belum dipilihnya secara tegas satu teori kesalahan korporasi sebagai landasan sistemik (Kusuma et al., 2025).</w:t>
      </w:r>
    </w:p>
    <w:p w14:paraId="1F1BB570"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Jika dikaitkan dengan doktrin yang berkembang, praktik Indonesia cenderung mencampur identification theory dan vicarious liability tanpa pemilahan yang konsisten. Identification theory mengaitkan kesalahan korporasi pada kesalahan directing mind sehingga sulit diterapkan pada korporasi dengan pengambilan keputusan terdesentralisasi, sedangkan vicarious liability berisiko menghukum korporasi yang telah membangun pengendalian internal memadai. Menurut analisis penulis, corporate culture model lebih tepat dijadikan poros karena menempatkan kesalahan pada kebijakan dan toleransi kelembagaan yang memungkinkan tindak pidana terjadi (Hadrian et al., 2022).</w:t>
      </w:r>
    </w:p>
    <w:p w14:paraId="050C45B6"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Temuan kedua berkenaan dengan lemahnya posisi korban. Peraturan Mahkamah Agung Nomor 13 Tahun 2016 berhasil menutup kekosongan hukum acara dalam mendudukkan korporasi sebagai terdakwa, tetapi tidak dirancang untuk memastikan pemulihan kerugian korban </w:t>
      </w:r>
      <w:r>
        <w:rPr>
          <w:rStyle w:val="longtext"/>
          <w:rFonts w:ascii="Segoe UI" w:hAnsi="Segoe UI" w:cs="Segoe UI"/>
          <w:sz w:val="22"/>
          <w:szCs w:val="22"/>
          <w:shd w:val="clear" w:color="auto" w:fill="FFFFFF"/>
          <w:lang w:val="id-ID"/>
        </w:rPr>
        <w:lastRenderedPageBreak/>
        <w:t>secara terukur. Pidana denda masuk ke kas negara dan tidak dengan sendirinya mengalir kepada masyarakat terdampak, sehingga pemulihan kerusakan lingkungan atau kerugian konsumen bergantung pada mekanisme perdata dan administratif yang terpisah (Zulkifli &amp; Sastro, 2022; Justiasari et al., 2024).</w:t>
      </w:r>
    </w:p>
    <w:p w14:paraId="42DAF730"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Temuan ketiga adalah tidak adanya pengaturan eksplisit mengenai penggunaan kecerdasan buatan dalam aktivitas korporasi sebagai basis penilaian kesalahan. Ketiadaan norma ini menciptakan ketidakpastian ganda: korporasi tidak memiliki standar kepatuhan yang jelas, sementara penegak hukum tidak memiliki pijakan untuk menilai kelalaian dalam pengawasan sistem otomatis. Ketiga kelemahan tersebut saling terkait: kaburnya standar kesalahan melemahkan pembuktian, lemahnya pembuktian mendorong penyelesaian yang tidak memulihkan, dan ketiadaan norma teknologi memperlebar celah pengelakan tanggung jawab.</w:t>
      </w:r>
    </w:p>
    <w:p w14:paraId="6549BC62" w14:textId="77777777" w:rsidR="00DC6661" w:rsidRDefault="00000000">
      <w:pPr>
        <w:pStyle w:val="Heading2"/>
        <w:rPr>
          <w:shd w:val="clear" w:color="auto" w:fill="FFFFFF"/>
        </w:rPr>
      </w:pPr>
      <w:r>
        <w:rPr>
          <w:shd w:val="clear" w:color="auto" w:fill="FFFFFF"/>
        </w:rPr>
        <w:t>3.2 Keadilan Restoratif sebagai Orientasi Pemulihan dalam Kejahatan Korporasi</w:t>
      </w:r>
    </w:p>
    <w:p w14:paraId="58CCF489"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Keadilan restoratif menempatkan pemulihan korban, masyarakat, dan negara sebagai tujuan utama penyelesaian perkara pidana (Valentino, 2025). Dalam konteks kejahatan korporasi, pendekatan ini relevan karena kerugian yang timbul bersifat kolektif dan sering kali tidak terwakili oleh figur korban individual dalam persidangan. Bentuk pertanggungjawaban yang dimungkinkan mencakup kompensasi, rehabilitasi lingkungan, pemulihan hak pekerja, hingga reformasi tata kelola perusahaan (Kamaluddin &amp; Mukminah, 2025). Jika dikaitkan dengan teori tujuan hukum, orientasi tersebut memperkuat dimensi kemanfaatan tanpa harus mengorbankan kepastian hukum, sepanjang syarat dan batas penerapannya dirumuskan secara normatif.</w:t>
      </w:r>
    </w:p>
    <w:p w14:paraId="49CE0C0D"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Kritik terhadap pendekatan ini perlu ditanggapi secara serius. Sebagian kalangan menilai penyelesaian restoratif melemahkan efek jera karena membuka ruang kompromi, terutama pada kejahatan berat seperti korupsi, pencucian uang, dan kejahatan lingkungan (Yusuf et al., 2023; Afifah, 2024). Keberatan itu tidak menggugurkan pendekatan restoratif, melainkan menentukan desainnya: pemulihan tidak boleh berdiri sendiri sebagai transaksi finansial, tetapi harus dirangkai dengan kewajiban reformasi internal yang dapat diverifikasi dan diawasi.</w:t>
      </w:r>
    </w:p>
    <w:p w14:paraId="00B1383A"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Secara yuridis, pendekatan restoratif dalam perkara korporasi menuntut kejelasan mengenai pihak yang berwenang menyatakan pemulihan telah tercapai. Kejahatan korporasi menempatkan negara dan masyarakat luas sebagai pihak terdampak, sehingga persetujuan korban tidak dapat dijadikan satu-satunya ukuran. Temuan tersebut memperlihatkan bahwa keadilan restoratif dalam ranah korporasi hanya dapat dioperasikan melalui prosedur formal yang melibatkan kontrol pengadilan, bukan melalui kesepakatan tertutup.</w:t>
      </w:r>
    </w:p>
    <w:p w14:paraId="29C6B2F5" w14:textId="77777777" w:rsidR="00DC6661" w:rsidRDefault="00000000">
      <w:pPr>
        <w:pStyle w:val="Heading2"/>
        <w:rPr>
          <w:shd w:val="clear" w:color="auto" w:fill="FFFFFF"/>
        </w:rPr>
      </w:pPr>
      <w:r>
        <w:rPr>
          <w:shd w:val="clear" w:color="auto" w:fill="FFFFFF"/>
        </w:rPr>
        <w:t>3.3 Deferred Prosecution Agreement: Perbandingan, Peluang, dan Risiko Impunitas</w:t>
      </w:r>
    </w:p>
    <w:p w14:paraId="46CC2916"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Deferred Prosecution Agreement merupakan mekanisme penundaan penuntutan terhadap korporasi dengan syarat tertentu, seperti pengakuan fakta, pembayaran denda dan kompensasi, penerapan program kepatuhan, serta pengawasan independen dalam jangka waktu yang disepakati (Nelson, 2022). Model ini berkembang dalam praktik penuntutan federal Amerika Serikat dan kemudian dilembagakan secara statutoris di Inggris dan Wales dengan syarat persetujuan pengadilan, sementara Belanda mengenal penyelesaian di luar persidangan melalui mekanisme transaksi yang kemudian menuai kritik karena minimnya kontrol yudisial (Zhou, 2025). Perbandingan tersebut diringkas dalam Tabel 1.</w:t>
      </w:r>
    </w:p>
    <w:p w14:paraId="21510C4B" w14:textId="77777777" w:rsidR="00DC6661" w:rsidRDefault="00000000">
      <w:pPr>
        <w:tabs>
          <w:tab w:val="left" w:pos="450"/>
        </w:tabs>
        <w:spacing w:before="100" w:beforeAutospacing="1" w:after="100" w:afterAutospacing="1"/>
        <w:contextualSpacing/>
        <w:jc w:val="center"/>
        <w:rPr>
          <w:rFonts w:eastAsia="Constantia" w:cs="Segoe UI"/>
          <w:sz w:val="20"/>
          <w:szCs w:val="20"/>
        </w:rPr>
      </w:pPr>
      <w:r>
        <w:rPr>
          <w:rFonts w:eastAsia="Constantia" w:cs="Segoe UI"/>
          <w:b/>
          <w:bCs/>
          <w:sz w:val="20"/>
          <w:szCs w:val="20"/>
        </w:rPr>
        <w:t>Tabel 1.</w:t>
      </w:r>
      <w:r>
        <w:rPr>
          <w:rFonts w:eastAsia="Constantia" w:cs="Segoe UI"/>
          <w:sz w:val="20"/>
          <w:szCs w:val="20"/>
        </w:rPr>
        <w:t xml:space="preserve"> Perbandingan Karakter Penyelesaian Ternegosiasi terhadap Korporasi dan Pengaturan Akuntabilitas Kecerdasan Buatan di Beberapa Yurisdiksi</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15"/>
        <w:gridCol w:w="2100"/>
        <w:gridCol w:w="1900"/>
        <w:gridCol w:w="1915"/>
      </w:tblGrid>
      <w:tr w:rsidR="006F0069" w:rsidRPr="006F0069" w14:paraId="323DAC60" w14:textId="77777777" w:rsidTr="006F0069">
        <w:trPr>
          <w:tblHeader/>
          <w:tblCellSpacing w:w="15" w:type="dxa"/>
          <w:jc w:val="center"/>
        </w:trPr>
        <w:tc>
          <w:tcPr>
            <w:tcW w:w="1470" w:type="dxa"/>
            <w:tcBorders>
              <w:top w:val="single" w:sz="4" w:space="0" w:color="auto"/>
              <w:bottom w:val="single" w:sz="4" w:space="0" w:color="auto"/>
            </w:tcBorders>
            <w:vAlign w:val="center"/>
          </w:tcPr>
          <w:p w14:paraId="3D516C91" w14:textId="77777777" w:rsidR="00DC6661"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lastRenderedPageBreak/>
              <w:t>Yurisdiksi</w:t>
            </w:r>
          </w:p>
        </w:tc>
        <w:tc>
          <w:tcPr>
            <w:tcW w:w="2070" w:type="dxa"/>
            <w:tcBorders>
              <w:top w:val="single" w:sz="4" w:space="0" w:color="auto"/>
              <w:bottom w:val="single" w:sz="4" w:space="0" w:color="auto"/>
            </w:tcBorders>
            <w:vAlign w:val="center"/>
          </w:tcPr>
          <w:p w14:paraId="77BECFEA" w14:textId="77777777" w:rsidR="00DC6661"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Landasan Penyelesaian Ternegosiasi</w:t>
            </w:r>
          </w:p>
        </w:tc>
        <w:tc>
          <w:tcPr>
            <w:tcW w:w="1870" w:type="dxa"/>
            <w:tcBorders>
              <w:top w:val="single" w:sz="4" w:space="0" w:color="auto"/>
              <w:bottom w:val="single" w:sz="4" w:space="0" w:color="auto"/>
            </w:tcBorders>
            <w:vAlign w:val="center"/>
          </w:tcPr>
          <w:p w14:paraId="6E3B2AA8" w14:textId="77777777" w:rsidR="00DC6661"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Kontrol dan Pengawasan</w:t>
            </w:r>
          </w:p>
        </w:tc>
        <w:tc>
          <w:tcPr>
            <w:tcW w:w="1870" w:type="dxa"/>
            <w:tcBorders>
              <w:top w:val="single" w:sz="4" w:space="0" w:color="auto"/>
              <w:bottom w:val="single" w:sz="4" w:space="0" w:color="auto"/>
            </w:tcBorders>
            <w:vAlign w:val="center"/>
          </w:tcPr>
          <w:p w14:paraId="6EE06989" w14:textId="77777777" w:rsidR="00DC6661"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Pengaturan Akuntabilitas AI</w:t>
            </w:r>
          </w:p>
        </w:tc>
      </w:tr>
      <w:tr w:rsidR="006F0069" w:rsidRPr="006F0069" w14:paraId="3C9B2BF0" w14:textId="77777777" w:rsidTr="006F0069">
        <w:trPr>
          <w:tblCellSpacing w:w="15" w:type="dxa"/>
          <w:jc w:val="center"/>
        </w:trPr>
        <w:tc>
          <w:tcPr>
            <w:tcW w:w="1470" w:type="dxa"/>
            <w:vAlign w:val="center"/>
          </w:tcPr>
          <w:p w14:paraId="030A9F3E"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Amerika Serikat</w:t>
            </w:r>
          </w:p>
        </w:tc>
        <w:tc>
          <w:tcPr>
            <w:tcW w:w="2070" w:type="dxa"/>
            <w:vAlign w:val="center"/>
          </w:tcPr>
          <w:p w14:paraId="498BC21F"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Praktik penuntutan (prosecutorial discretion); DPA dan non-prosecution agreement</w:t>
            </w:r>
          </w:p>
        </w:tc>
        <w:tc>
          <w:tcPr>
            <w:tcW w:w="1870" w:type="dxa"/>
            <w:vAlign w:val="center"/>
          </w:tcPr>
          <w:p w14:paraId="11A30CBD"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Dominasi penuntut umum; kontrol pengadilan terbatas</w:t>
            </w:r>
          </w:p>
        </w:tc>
        <w:tc>
          <w:tcPr>
            <w:tcW w:w="1870" w:type="dxa"/>
            <w:vAlign w:val="center"/>
          </w:tcPr>
          <w:p w14:paraId="372C613D"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Tersebar dalam regulasi sektoral, belum terkodifikasi menyeluruh</w:t>
            </w:r>
          </w:p>
        </w:tc>
      </w:tr>
      <w:tr w:rsidR="006F0069" w:rsidRPr="006F0069" w14:paraId="3A1DEBAE" w14:textId="77777777" w:rsidTr="006F0069">
        <w:trPr>
          <w:tblCellSpacing w:w="15" w:type="dxa"/>
          <w:jc w:val="center"/>
        </w:trPr>
        <w:tc>
          <w:tcPr>
            <w:tcW w:w="1470" w:type="dxa"/>
            <w:vAlign w:val="center"/>
          </w:tcPr>
          <w:p w14:paraId="27F17AAB"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Inggris dan Wales</w:t>
            </w:r>
          </w:p>
        </w:tc>
        <w:tc>
          <w:tcPr>
            <w:tcW w:w="2070" w:type="dxa"/>
            <w:vAlign w:val="center"/>
          </w:tcPr>
          <w:p w14:paraId="75FBBBD9"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Diatur secara statutoris sebagai bagian reformasi hukum pidana ekonomi</w:t>
            </w:r>
          </w:p>
        </w:tc>
        <w:tc>
          <w:tcPr>
            <w:tcW w:w="1870" w:type="dxa"/>
            <w:vAlign w:val="center"/>
          </w:tcPr>
          <w:p w14:paraId="556269D8"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Wajib memperoleh persetujuan pengadilan dan diumumkan secara terbuka</w:t>
            </w:r>
          </w:p>
        </w:tc>
        <w:tc>
          <w:tcPr>
            <w:tcW w:w="1870" w:type="dxa"/>
            <w:vAlign w:val="center"/>
          </w:tcPr>
          <w:p w14:paraId="3B83609B"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Berbasis pedoman dan pengaturan sektoral</w:t>
            </w:r>
          </w:p>
        </w:tc>
      </w:tr>
      <w:tr w:rsidR="006F0069" w:rsidRPr="006F0069" w14:paraId="4D135BE8" w14:textId="77777777" w:rsidTr="006F0069">
        <w:trPr>
          <w:tblCellSpacing w:w="15" w:type="dxa"/>
          <w:jc w:val="center"/>
        </w:trPr>
        <w:tc>
          <w:tcPr>
            <w:tcW w:w="1470" w:type="dxa"/>
            <w:vAlign w:val="center"/>
          </w:tcPr>
          <w:p w14:paraId="28E75618"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Belanda</w:t>
            </w:r>
          </w:p>
        </w:tc>
        <w:tc>
          <w:tcPr>
            <w:tcW w:w="2070" w:type="dxa"/>
            <w:vAlign w:val="center"/>
          </w:tcPr>
          <w:p w14:paraId="4DDE8F10"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Penyelesaian di luar persidangan (transactie) dalam hukum pidana</w:t>
            </w:r>
          </w:p>
        </w:tc>
        <w:tc>
          <w:tcPr>
            <w:tcW w:w="1870" w:type="dxa"/>
            <w:vAlign w:val="center"/>
          </w:tcPr>
          <w:p w14:paraId="6E23496D"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Kontrol yudisial lemah; menjadi objek kritik publik</w:t>
            </w:r>
          </w:p>
        </w:tc>
        <w:tc>
          <w:tcPr>
            <w:tcW w:w="1870" w:type="dxa"/>
            <w:vAlign w:val="center"/>
          </w:tcPr>
          <w:p w14:paraId="5AC4DB06"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Mengikuti kerangka Uni Eropa</w:t>
            </w:r>
          </w:p>
        </w:tc>
      </w:tr>
      <w:tr w:rsidR="006F0069" w:rsidRPr="006F0069" w14:paraId="73A5266E" w14:textId="77777777" w:rsidTr="006F0069">
        <w:trPr>
          <w:tblCellSpacing w:w="15" w:type="dxa"/>
          <w:jc w:val="center"/>
        </w:trPr>
        <w:tc>
          <w:tcPr>
            <w:tcW w:w="1470" w:type="dxa"/>
            <w:vAlign w:val="center"/>
          </w:tcPr>
          <w:p w14:paraId="7AB9AE3E"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Uni Eropa</w:t>
            </w:r>
          </w:p>
        </w:tc>
        <w:tc>
          <w:tcPr>
            <w:tcW w:w="2070" w:type="dxa"/>
            <w:vAlign w:val="center"/>
          </w:tcPr>
          <w:p w14:paraId="405E6DFE"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Tidak seragam; bergantung pada hukum masing-masing negara anggota</w:t>
            </w:r>
          </w:p>
        </w:tc>
        <w:tc>
          <w:tcPr>
            <w:tcW w:w="1870" w:type="dxa"/>
            <w:vAlign w:val="center"/>
          </w:tcPr>
          <w:p w14:paraId="01AE91A7"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Bervariasi antarnegara anggota</w:t>
            </w:r>
          </w:p>
        </w:tc>
        <w:tc>
          <w:tcPr>
            <w:tcW w:w="1870" w:type="dxa"/>
            <w:vAlign w:val="center"/>
          </w:tcPr>
          <w:p w14:paraId="2116681F"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Regulasi tata kelola AI berbasis risiko dengan prinsip transparansi dan pengawasan manusia</w:t>
            </w:r>
          </w:p>
        </w:tc>
      </w:tr>
      <w:tr w:rsidR="006F0069" w:rsidRPr="006F0069" w14:paraId="63468359" w14:textId="77777777" w:rsidTr="006F0069">
        <w:trPr>
          <w:tblCellSpacing w:w="15" w:type="dxa"/>
          <w:jc w:val="center"/>
        </w:trPr>
        <w:tc>
          <w:tcPr>
            <w:tcW w:w="1470" w:type="dxa"/>
            <w:tcBorders>
              <w:bottom w:val="single" w:sz="4" w:space="0" w:color="auto"/>
            </w:tcBorders>
            <w:vAlign w:val="center"/>
          </w:tcPr>
          <w:p w14:paraId="21C05182"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Indonesia</w:t>
            </w:r>
          </w:p>
        </w:tc>
        <w:tc>
          <w:tcPr>
            <w:tcW w:w="2070" w:type="dxa"/>
            <w:tcBorders>
              <w:bottom w:val="single" w:sz="4" w:space="0" w:color="auto"/>
            </w:tcBorders>
            <w:vAlign w:val="center"/>
          </w:tcPr>
          <w:p w14:paraId="6A03B254"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Belum diatur secara eksplisit; penanganan perkara korporasi merujuk Perma No. 13 Tahun 2016 dan KUHP Nasional</w:t>
            </w:r>
          </w:p>
        </w:tc>
        <w:tc>
          <w:tcPr>
            <w:tcW w:w="1870" w:type="dxa"/>
            <w:tcBorders>
              <w:bottom w:val="single" w:sz="4" w:space="0" w:color="auto"/>
            </w:tcBorders>
            <w:vAlign w:val="center"/>
          </w:tcPr>
          <w:p w14:paraId="2ADD3302"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Belum tersedia mekanisme persetujuan pengadilan atas penyelesaian ternegosiasi</w:t>
            </w:r>
          </w:p>
        </w:tc>
        <w:tc>
          <w:tcPr>
            <w:tcW w:w="1870" w:type="dxa"/>
            <w:tcBorders>
              <w:bottom w:val="single" w:sz="4" w:space="0" w:color="auto"/>
            </w:tcBorders>
            <w:vAlign w:val="center"/>
          </w:tcPr>
          <w:p w14:paraId="02FA9C30"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Belum ada pengaturan khusus akuntabilitas pidana atas keputusan algoritmik</w:t>
            </w:r>
          </w:p>
        </w:tc>
      </w:tr>
    </w:tbl>
    <w:p w14:paraId="2329EA18" w14:textId="77777777" w:rsidR="00DC6661" w:rsidRDefault="00000000">
      <w:pPr>
        <w:pStyle w:val="IEEEParagraph"/>
        <w:ind w:firstLine="567"/>
        <w:rPr>
          <w:rFonts w:ascii="Segoe UI" w:hAnsi="Segoe UI" w:cs="Segoe UI"/>
          <w:i/>
          <w:iCs/>
          <w:sz w:val="18"/>
          <w:szCs w:val="18"/>
          <w:lang w:val="id-ID"/>
        </w:rPr>
      </w:pPr>
      <w:r>
        <w:rPr>
          <w:rFonts w:ascii="Segoe UI" w:hAnsi="Segoe UI" w:cs="Segoe UI"/>
          <w:i/>
          <w:iCs/>
          <w:sz w:val="18"/>
          <w:szCs w:val="18"/>
          <w:lang w:val="id-ID"/>
        </w:rPr>
        <w:t xml:space="preserve">              Sumber: Diolah penulis dari bahan hukum primer dan literatur (2026)</w:t>
      </w:r>
    </w:p>
    <w:p w14:paraId="1A064F65" w14:textId="77777777" w:rsidR="00DC6661" w:rsidRPr="00237E4A" w:rsidRDefault="00DC6661">
      <w:pPr>
        <w:pStyle w:val="IEEEParagraph"/>
        <w:rPr>
          <w:lang w:val="sv-SE"/>
        </w:rPr>
      </w:pPr>
    </w:p>
    <w:p w14:paraId="7F20A3C3"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Tabel 1 memperlihatkan satu variabel pembeda yang menentukan: kadar kontrol yudisial. Pengalaman Inggris menunjukkan bahwa persetujuan pengadilan dan publikasi kesepakatan berfungsi sebagai penjaga agar penyelesaian ternegosiasi tidak berubah menjadi tawar-menawar tertutup, sedangkan kritik terhadap praktik Belanda justru muncul dari lemahnya kontrol tersebut. Secara yuridis, temuan ini menegaskan bahwa yang dapat ditransplantasikan ke Indonesia bukanlah bentuk DPA-nya, melainkan arsitektur pengawasannya.</w:t>
      </w:r>
    </w:p>
    <w:p w14:paraId="22377A62"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Peluang penerapan DPA di Indonesia bertumpu pada dua argumen. Pertama, efisiensi: pembuktian kesalahan korporasi menuntut sumber daya penyidikan yang besar dan waktu yang panjang, sehingga penyelesaian ternegosiasi berpotensi mempercepat pemulihan kerugian negara (Taniady et al., 2023). Kedua, proporsionalitas: pembubaran atau denda ekstrem dapat menimbulkan dampak sosial-ekonomi yang tidak proporsional terhadap pekerja dan mitra usaha yang tidak bersalah (Zakaria et al., 2024). Argumentasi tersebut sejalan dengan temuan Arlen (1994) bahwa desain sanksi korporasi harus memperhitungkan insentif korporasi untuk melakukan pemantauan dan pelaporan internal.</w:t>
      </w:r>
    </w:p>
    <w:p w14:paraId="455ED5E5"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Namun demikian, risiko impunitas tidak dapat diabaikan. Tanpa parameter yang transparan mengenai korporasi yang layak memperoleh penundaan penuntutan, DPA berpotensi menciptakan ketimpangan hukum yang menguntungkan korporasi besar dengan daya tawar tinggi (Alaydrus, 2025). Menurut analisis penulis, mitigasinya menuntut empat syarat kumulatif: pembatasan jenis tindak pidana; kewajiban pengakuan fakta; persetujuan dan pengawasan pengadilan atas isi kesepakatan; serta publikasi kesepakatan dan laporan pemenuhan kewajiban.</w:t>
      </w:r>
    </w:p>
    <w:p w14:paraId="6240994A"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lastRenderedPageBreak/>
        <w:t>Perlu ditegaskan pula bahwa penerapan DPA berkaitan langsung dengan hukum acara. Penundaan penuntutan menyentuh kewenangan penuntut umum dalam mengendalikan perkara, sehingga pengaturannya tidak cukup melalui peraturan teknis, melainkan harus berlandaskan undang-undang. Berdasarkan konstruksi hukum tersebut, integrasi DPA ke dalam sistem Indonesia mensyaratkan penyesuaian hukum acara pidana agar kesepakatan memiliki daya ikat, dapat diuji, dan dapat dibatalkan apabila korporasi ingkar.</w:t>
      </w:r>
    </w:p>
    <w:p w14:paraId="6345A9B0" w14:textId="77777777" w:rsidR="00DC6661" w:rsidRDefault="00000000">
      <w:pPr>
        <w:pStyle w:val="Heading2"/>
        <w:rPr>
          <w:shd w:val="clear" w:color="auto" w:fill="FFFFFF"/>
        </w:rPr>
      </w:pPr>
      <w:r>
        <w:rPr>
          <w:shd w:val="clear" w:color="auto" w:fill="FFFFFF"/>
        </w:rPr>
        <w:t>3.4 Akuntabilitas Kecerdasan Buatan dan Perluasan Konsep Kesalahan Korporasi</w:t>
      </w:r>
    </w:p>
    <w:p w14:paraId="028B9DCE"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Penggunaan sistem kecerdasan buatan dalam operasional korporasi memunculkan persoalan atribusi yang tidak dapat diselesaikan dengan doktrin kesalahan konvensional. Ketika keputusan dihasilkan oleh model algoritmik yang bekerja secara probabilistik dan sebagian tidak sepenuhnya dapat dijelaskan, pencarian individu yang memiliki niat jahat sering kali berakhir tanpa hasil (Cutolo, 2024; Harahap et al., 2025). Situasi ini melahirkan responsibility gap, yakni keadaan ketika kerugian nyata terjadi tetapi tidak ada subjek hukum yang dapat dibebani pertanggungjawaban pidana.</w:t>
      </w:r>
    </w:p>
    <w:p w14:paraId="4131ABA5"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Konsep algorithmic accountability menawarkan jalan keluar dengan menempatkan tanggung jawab pada pihak yang mengembangkan, mengadopsi, dan memperoleh manfaat dari sistem tersebut (Johnson, 2021). Jika dikaitkan dengan corporate culture model, konstruksi ini dapat diterima dalam hukum pidana Indonesia karena kesalahan korporasi tidak lagi dicari pada niat mesin, melainkan pada keputusan kelembagaan untuk menggunakan sistem berisiko tanpa pengujian, tanpa pengawasan manusia yang memadai, atau tanpa mekanisme koreksi ketika kerugian mulai terdeteksi. Dengan demikian, kesalahan korporasi diperluas dari kesalahan perbuatan menjadi kesalahan tata kelola.</w:t>
      </w:r>
    </w:p>
    <w:p w14:paraId="2992C18C"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Pengalaman Uni Eropa dalam membangun kerangka tata kelola AI berbasis risiko dapat dijadikan rujukan konseptual, khususnya prinsip transparansi, pengawasan manusia, dan kewajiban dokumentasi bagi sistem berisiko tinggi. Prinsip-prinsip tersebut berfungsi sebagai standard of care yang, apabila dilanggar, menjadi dasar penilaian kelalaian korporasi. Dengan demikian hukum pidana cukup menautkan kesalahan korporasi pada pelanggaran kewajiban tata kelola yang ditetapkan regulasi administratif, sehingga tercipta keterhubungan norma tanpa kriminalisasi berlebihan.</w:t>
      </w:r>
    </w:p>
    <w:p w14:paraId="7E17D1DA"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Perlu ditegaskan bahwa perluasan ini tidak boleh mengarah pada pemberian status subjek hukum pidana kepada sistem kecerdasan buatan. Sistem algoritmik tidak memiliki kapasitas bersalah dan tidak dapat dipidana secara bermakna. Penempatan tanggung jawab pada korporasi sebagai pengguna dan penerima manfaat teknologi merupakan pilihan yang paling konsisten dengan asas tiada pidana tanpa kesalahan sekaligus paling efektif mencegah pengelakan tanggung jawab.</w:t>
      </w:r>
    </w:p>
    <w:p w14:paraId="72DA88A9" w14:textId="77777777" w:rsidR="00DC6661" w:rsidRDefault="00000000">
      <w:pPr>
        <w:pStyle w:val="Heading2"/>
        <w:rPr>
          <w:shd w:val="clear" w:color="auto" w:fill="FFFFFF"/>
        </w:rPr>
      </w:pPr>
      <w:r>
        <w:rPr>
          <w:shd w:val="clear" w:color="auto" w:fill="FFFFFF"/>
        </w:rPr>
        <w:t>3.5 Model Rekonstruksi Terintegrasi dan Prasyarat Kelembagaannya</w:t>
      </w:r>
    </w:p>
    <w:p w14:paraId="44B9ADF6"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Ketiga instrumen yang dianalisis tidak berfungsi sebagai alternatif yang saling menggantikan, melainkan sebagai tiga pilar yang menjawab persoalan berbeda dalam satu rangkaian. Keadilan restoratif menjawab pertanyaan tentang tujuan penyelesaian; DPA menjawab pertanyaan tentang prosedur pencapaiannya; dan akuntabilitas kecerdasan buatan menjawab pertanyaan tentang dasar pembebanan kesalahan pada korporasi berteknologi tinggi. Struktur hubungan ketiganya disajikan pada Tabel 2.</w:t>
      </w:r>
    </w:p>
    <w:p w14:paraId="225385DE" w14:textId="77777777" w:rsidR="00DC6661" w:rsidRDefault="00000000">
      <w:pPr>
        <w:tabs>
          <w:tab w:val="left" w:pos="450"/>
        </w:tabs>
        <w:spacing w:before="100" w:beforeAutospacing="1" w:after="100" w:afterAutospacing="1"/>
        <w:contextualSpacing/>
        <w:jc w:val="center"/>
        <w:rPr>
          <w:rFonts w:eastAsia="Constantia" w:cs="Segoe UI"/>
          <w:sz w:val="20"/>
          <w:szCs w:val="20"/>
        </w:rPr>
      </w:pPr>
      <w:r>
        <w:rPr>
          <w:rFonts w:eastAsia="Constantia" w:cs="Segoe UI"/>
          <w:b/>
          <w:bCs/>
          <w:sz w:val="20"/>
          <w:szCs w:val="20"/>
        </w:rPr>
        <w:t>Tabel 2.</w:t>
      </w:r>
      <w:r>
        <w:rPr>
          <w:rFonts w:eastAsia="Constantia" w:cs="Segoe UI"/>
          <w:sz w:val="20"/>
          <w:szCs w:val="20"/>
        </w:rPr>
        <w:t xml:space="preserve"> Model Rekonstruksi Pertanggungjawaban Pidana Korporasi Berbasis Tiga Pilar Terintegrasi</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15"/>
        <w:gridCol w:w="2100"/>
        <w:gridCol w:w="1900"/>
        <w:gridCol w:w="1915"/>
      </w:tblGrid>
      <w:tr w:rsidR="006F0069" w:rsidRPr="006F0069" w14:paraId="62CBBADF" w14:textId="77777777" w:rsidTr="006F0069">
        <w:trPr>
          <w:tblHeader/>
          <w:tblCellSpacing w:w="15" w:type="dxa"/>
          <w:jc w:val="center"/>
        </w:trPr>
        <w:tc>
          <w:tcPr>
            <w:tcW w:w="1470" w:type="dxa"/>
            <w:tcBorders>
              <w:top w:val="single" w:sz="4" w:space="0" w:color="auto"/>
              <w:bottom w:val="single" w:sz="4" w:space="0" w:color="auto"/>
            </w:tcBorders>
            <w:vAlign w:val="center"/>
          </w:tcPr>
          <w:p w14:paraId="794364C5" w14:textId="77777777" w:rsidR="00DC6661"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lastRenderedPageBreak/>
              <w:t>Pilar</w:t>
            </w:r>
          </w:p>
        </w:tc>
        <w:tc>
          <w:tcPr>
            <w:tcW w:w="2070" w:type="dxa"/>
            <w:tcBorders>
              <w:top w:val="single" w:sz="4" w:space="0" w:color="auto"/>
              <w:bottom w:val="single" w:sz="4" w:space="0" w:color="auto"/>
            </w:tcBorders>
            <w:vAlign w:val="center"/>
          </w:tcPr>
          <w:p w14:paraId="297DD294" w14:textId="77777777" w:rsidR="00DC6661"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Fungsi Normatif</w:t>
            </w:r>
          </w:p>
        </w:tc>
        <w:tc>
          <w:tcPr>
            <w:tcW w:w="1870" w:type="dxa"/>
            <w:tcBorders>
              <w:top w:val="single" w:sz="4" w:space="0" w:color="auto"/>
              <w:bottom w:val="single" w:sz="4" w:space="0" w:color="auto"/>
            </w:tcBorders>
            <w:vAlign w:val="center"/>
          </w:tcPr>
          <w:p w14:paraId="5B0438BA" w14:textId="77777777" w:rsidR="00DC6661"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Instrumen Operasional</w:t>
            </w:r>
          </w:p>
        </w:tc>
        <w:tc>
          <w:tcPr>
            <w:tcW w:w="1870" w:type="dxa"/>
            <w:tcBorders>
              <w:top w:val="single" w:sz="4" w:space="0" w:color="auto"/>
              <w:bottom w:val="single" w:sz="4" w:space="0" w:color="auto"/>
            </w:tcBorders>
            <w:vAlign w:val="center"/>
          </w:tcPr>
          <w:p w14:paraId="4C0123EB" w14:textId="77777777" w:rsidR="00DC6661" w:rsidRDefault="00000000">
            <w:pPr>
              <w:tabs>
                <w:tab w:val="left" w:pos="450"/>
              </w:tabs>
              <w:spacing w:before="60" w:after="60"/>
              <w:contextualSpacing/>
              <w:jc w:val="center"/>
              <w:rPr>
                <w:rFonts w:eastAsia="Constantia" w:cs="Segoe UI"/>
                <w:b/>
                <w:bCs/>
                <w:sz w:val="18"/>
                <w:szCs w:val="18"/>
              </w:rPr>
            </w:pPr>
            <w:r>
              <w:rPr>
                <w:rFonts w:eastAsia="Constantia" w:cs="Segoe UI"/>
                <w:b/>
                <w:bCs/>
                <w:sz w:val="18"/>
                <w:szCs w:val="18"/>
              </w:rPr>
              <w:t>Prasyarat Pengaman</w:t>
            </w:r>
          </w:p>
        </w:tc>
      </w:tr>
      <w:tr w:rsidR="006F0069" w:rsidRPr="006F0069" w14:paraId="6EA571A6" w14:textId="77777777" w:rsidTr="006F0069">
        <w:trPr>
          <w:tblCellSpacing w:w="15" w:type="dxa"/>
          <w:jc w:val="center"/>
        </w:trPr>
        <w:tc>
          <w:tcPr>
            <w:tcW w:w="1470" w:type="dxa"/>
            <w:vAlign w:val="center"/>
          </w:tcPr>
          <w:p w14:paraId="3CCCE84F"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Keadilan restoratif</w:t>
            </w:r>
          </w:p>
        </w:tc>
        <w:tc>
          <w:tcPr>
            <w:tcW w:w="2070" w:type="dxa"/>
            <w:vAlign w:val="center"/>
          </w:tcPr>
          <w:p w14:paraId="1BF8FCBD"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Menentukan tujuan penyelesaian, yakni pemulihan korban dan koreksi perilaku korporasi</w:t>
            </w:r>
          </w:p>
        </w:tc>
        <w:tc>
          <w:tcPr>
            <w:tcW w:w="1870" w:type="dxa"/>
            <w:vAlign w:val="center"/>
          </w:tcPr>
          <w:p w14:paraId="3A049090"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Kompensasi terukur, rehabilitasi lingkungan, pemulihan hak pekerja, reformasi tata kelola</w:t>
            </w:r>
          </w:p>
        </w:tc>
        <w:tc>
          <w:tcPr>
            <w:tcW w:w="1870" w:type="dxa"/>
            <w:vAlign w:val="center"/>
          </w:tcPr>
          <w:p w14:paraId="5C2ABD1A"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Pembatasan pada tindak pidana tertentu; verifikasi pemulihan oleh pengadilan</w:t>
            </w:r>
          </w:p>
        </w:tc>
      </w:tr>
      <w:tr w:rsidR="006F0069" w:rsidRPr="006F0069" w14:paraId="0CEC1819" w14:textId="77777777" w:rsidTr="006F0069">
        <w:trPr>
          <w:tblCellSpacing w:w="15" w:type="dxa"/>
          <w:jc w:val="center"/>
        </w:trPr>
        <w:tc>
          <w:tcPr>
            <w:tcW w:w="1470" w:type="dxa"/>
            <w:vAlign w:val="center"/>
          </w:tcPr>
          <w:p w14:paraId="5C05DA06"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Deferred Prosecution Agreement</w:t>
            </w:r>
          </w:p>
        </w:tc>
        <w:tc>
          <w:tcPr>
            <w:tcW w:w="2070" w:type="dxa"/>
            <w:vAlign w:val="center"/>
          </w:tcPr>
          <w:p w14:paraId="678A0799"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Menyediakan prosedur penyelesaian ternegosiasi yang mengikat dan terawasi</w:t>
            </w:r>
          </w:p>
        </w:tc>
        <w:tc>
          <w:tcPr>
            <w:tcW w:w="1870" w:type="dxa"/>
            <w:vAlign w:val="center"/>
          </w:tcPr>
          <w:p w14:paraId="3552563E"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Pengakuan fakta, denda dan kompensasi, program kepatuhan, pemantau independen</w:t>
            </w:r>
          </w:p>
        </w:tc>
        <w:tc>
          <w:tcPr>
            <w:tcW w:w="1870" w:type="dxa"/>
            <w:vAlign w:val="center"/>
          </w:tcPr>
          <w:p w14:paraId="32C36450"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Persetujuan pengadilan, publikasi kesepakatan, kewenangan melanjutkan penuntutan bila ingkar</w:t>
            </w:r>
          </w:p>
        </w:tc>
      </w:tr>
      <w:tr w:rsidR="006F0069" w:rsidRPr="006F0069" w14:paraId="173FB759" w14:textId="77777777" w:rsidTr="006F0069">
        <w:trPr>
          <w:tblCellSpacing w:w="15" w:type="dxa"/>
          <w:jc w:val="center"/>
        </w:trPr>
        <w:tc>
          <w:tcPr>
            <w:tcW w:w="1470" w:type="dxa"/>
            <w:tcBorders>
              <w:bottom w:val="single" w:sz="4" w:space="0" w:color="auto"/>
            </w:tcBorders>
            <w:vAlign w:val="center"/>
          </w:tcPr>
          <w:p w14:paraId="5865320D"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Akuntabilitas kecerdasan buatan</w:t>
            </w:r>
          </w:p>
        </w:tc>
        <w:tc>
          <w:tcPr>
            <w:tcW w:w="2070" w:type="dxa"/>
            <w:tcBorders>
              <w:bottom w:val="single" w:sz="4" w:space="0" w:color="auto"/>
            </w:tcBorders>
            <w:vAlign w:val="center"/>
          </w:tcPr>
          <w:p w14:paraId="3D3DF4B0"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Memperluas dasar kesalahan korporasi pada kegagalan tata kelola teknologi</w:t>
            </w:r>
          </w:p>
        </w:tc>
        <w:tc>
          <w:tcPr>
            <w:tcW w:w="1870" w:type="dxa"/>
            <w:tcBorders>
              <w:bottom w:val="single" w:sz="4" w:space="0" w:color="auto"/>
            </w:tcBorders>
            <w:vAlign w:val="center"/>
          </w:tcPr>
          <w:p w14:paraId="0CE0E739"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Kewajiban transparansi, pengawasan manusia, dokumentasi, dan audit sistem berisiko tinggi</w:t>
            </w:r>
          </w:p>
        </w:tc>
        <w:tc>
          <w:tcPr>
            <w:tcW w:w="1870" w:type="dxa"/>
            <w:tcBorders>
              <w:bottom w:val="single" w:sz="4" w:space="0" w:color="auto"/>
            </w:tcBorders>
            <w:vAlign w:val="center"/>
          </w:tcPr>
          <w:p w14:paraId="2B131CAC" w14:textId="77777777" w:rsidR="00DC6661" w:rsidRDefault="00000000">
            <w:pPr>
              <w:tabs>
                <w:tab w:val="left" w:pos="450"/>
              </w:tabs>
              <w:spacing w:before="60" w:after="60"/>
              <w:contextualSpacing/>
              <w:jc w:val="left"/>
              <w:rPr>
                <w:rFonts w:eastAsia="Constantia" w:cs="Segoe UI"/>
                <w:sz w:val="18"/>
                <w:szCs w:val="18"/>
              </w:rPr>
            </w:pPr>
            <w:r>
              <w:rPr>
                <w:rFonts w:eastAsia="Constantia" w:cs="Segoe UI"/>
                <w:sz w:val="18"/>
                <w:szCs w:val="18"/>
              </w:rPr>
              <w:t>Larangan pemberian status subjek hukum pidana kepada sistem algoritmik</w:t>
            </w:r>
          </w:p>
        </w:tc>
      </w:tr>
    </w:tbl>
    <w:p w14:paraId="0269820A" w14:textId="77777777" w:rsidR="00DC6661" w:rsidRDefault="00000000">
      <w:pPr>
        <w:pStyle w:val="IEEEParagraph"/>
        <w:ind w:firstLine="567"/>
        <w:rPr>
          <w:rFonts w:ascii="Segoe UI" w:hAnsi="Segoe UI" w:cs="Segoe UI"/>
          <w:i/>
          <w:iCs/>
          <w:sz w:val="18"/>
          <w:szCs w:val="18"/>
          <w:lang w:val="id-ID"/>
        </w:rPr>
      </w:pPr>
      <w:r>
        <w:rPr>
          <w:rFonts w:ascii="Segoe UI" w:hAnsi="Segoe UI" w:cs="Segoe UI"/>
          <w:i/>
          <w:iCs/>
          <w:sz w:val="18"/>
          <w:szCs w:val="18"/>
          <w:lang w:val="id-ID"/>
        </w:rPr>
        <w:t xml:space="preserve">              Sumber: Hasil analisis penulis (2026)</w:t>
      </w:r>
    </w:p>
    <w:p w14:paraId="24AE6FA8" w14:textId="77777777" w:rsidR="00DC6661" w:rsidRPr="00237E4A" w:rsidRDefault="00DC6661">
      <w:pPr>
        <w:pStyle w:val="IEEEParagraph"/>
        <w:rPr>
          <w:lang w:val="id-ID"/>
        </w:rPr>
      </w:pPr>
    </w:p>
    <w:p w14:paraId="52FE5873"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Tabel 2 memperlihatkan bahwa setiap pilar disertai prasyarat pengaman. Hal tersebut menunjukkan bahwa rekonstruksi yang ditawarkan bukan pelonggaran pertanggungjawaban, melainkan pemindahan titik berat penegakan hukum dari penjatuhan sanksi ke perubahan perilaku kelembagaan yang dapat diverifikasi. Jika dikaitkan dengan teori tujuan hukum, model ini berupaya menempatkan kepastian hukum pada tataran prosedur, keadilan pada tataran pemulihan korban, dan kemanfaatan pada tataran keberlanjutan aktivitas ekonomi yang tidak melanggar hukum.</w:t>
      </w:r>
    </w:p>
    <w:p w14:paraId="02940B26"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Implementasi model tersebut menuntut kesiapan kelembagaan. Penuntut umum memerlukan kapasitas menilai kualitas program kepatuhan, hakim memerlukan pedoman menguji kelayakan kesepakatan, dan penyidik memerlukan kemampuan memeriksa jejak keputusan algoritmik.</w:t>
      </w:r>
    </w:p>
    <w:p w14:paraId="047C5C58" w14:textId="77777777" w:rsidR="00DC6661" w:rsidRDefault="00000000">
      <w:pPr>
        <w:pStyle w:val="Heading3"/>
        <w:ind w:left="1134" w:right="322" w:hanging="425"/>
      </w:pPr>
      <w:r>
        <w:t>KESIMPULAN</w:t>
      </w:r>
    </w:p>
    <w:p w14:paraId="31EF3D8A"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Penelitian ini menyimpulkan bahwa sistem pertanggungjawaban pidana korporasi Indonesia masih menyimpan tiga kelemahan struktural yang saling terkait meskipun korporasi telah diakui sebagai subjek tindak pidana mandiri dalam KUHP Nasional. Kelemahan tersebut berupa kaburnya standar kesalahan korporasi akibat pencampuran doktrin identification theory dan vicarious liability tanpa pemilahan yang konsisten, lemahnya orientasi pemulihan korban karena sanksi denda tidak dirancang mengalir kepada pihak terdampak, serta ketiadaan norma yang menautkan kesalahan korporasi dengan penggunaan sistem kecerdasan buatan dalam pengambilan keputusan bisnis. Ketiga kelemahan itu menjelaskan mengapa penegakan hukum terhadap korporasi kerap berhenti pada penjatuhan sanksi tanpa perubahan perilaku kelembagaan.</w:t>
      </w:r>
    </w:p>
    <w:p w14:paraId="4218AFFD"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 xml:space="preserve">Rekonstruksi yang ditawarkan penelitian ini berbentuk integrasi tiga pilar yang menjawab persoalan berbeda dalam satu rangkaian. Keadilan restoratif menetapkan tujuan penyelesaian pada pemulihan dan koreksi tata kelola korporasi; Deferred Prosecution Agreement menyediakan prosedur penyelesaian ternegosiasi yang mengikat melalui pengakuan fakta, kompensasi, </w:t>
      </w:r>
      <w:r>
        <w:rPr>
          <w:rStyle w:val="longtext"/>
          <w:rFonts w:ascii="Segoe UI" w:hAnsi="Segoe UI" w:cs="Segoe UI"/>
          <w:sz w:val="22"/>
          <w:szCs w:val="22"/>
          <w:shd w:val="clear" w:color="auto" w:fill="FFFFFF"/>
          <w:lang w:val="id-ID"/>
        </w:rPr>
        <w:lastRenderedPageBreak/>
        <w:t>program kepatuhan, dan pemantauan independen; sedangkan akuntabilitas kecerdasan buatan memperluas dasar kesalahan korporasi dari kesalahan perbuatan menjadi kesalahan tata kelola teknologi, tanpa memberikan status subjek hukum pidana kepada sistem algoritmik. Studi perbandingan memperlihatkan bahwa unsur yang paling menentukan keberhasilan penyelesaian ternegosiasi bukanlah bentuk kesepakatannya, melainkan kadar kontrol yudisial dan keterbukaan yang menyertainya.</w:t>
      </w:r>
    </w:p>
    <w:p w14:paraId="482457D6"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Dari sisi perbandingan, penelitian ini menemukan bahwa keberhasilan penyelesaian ternegosiasi terhadap korporasi tidak ditentukan oleh keluwesan prosedurnya, melainkan oleh kadar kontrol yudisial dan keterbukaan yang menyertainya, sebagaimana terlihat dari perbedaan pengalaman yurisdiksi yang telah menerapkannya.</w:t>
      </w:r>
    </w:p>
    <w:p w14:paraId="354A8383"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Temuan penelitian juga menegaskan bahwa ketiga pilar tersebut tidak dapat dioperasikan tanpa prasyarat pengaman. Keadilan restoratif hanya layak diterapkan apabila dibatasi pada jenis tindak pidana tertentu dan pemenuhan pemulihannya diverifikasi oleh pengadilan; penyelesaian ternegosiasi hanya dapat dibenarkan apabila memperoleh persetujuan pengadilan, diumumkan secara terbuka, dan menyisakan kewenangan untuk melanjutkan penuntutan ketika korporasi ingkar; sedangkan perluasan kesalahan pada tata kelola teknologi tidak boleh berkembang menjadi pemberian status subjek hukum pidana kepada sistem algoritmik yang justru akan menjadi tameng bagi korporasi. Dengan prasyarat tersebut, rekonstruksi yang ditawarkan bukan pelonggaran pertanggungjawaban, melainkan pemindahan titik berat penegakan hukum dari penjatuhan sanksi menuju perubahan perilaku kelembagaan yang dapat diverifikasi dan diawasi.</w:t>
      </w:r>
    </w:p>
    <w:p w14:paraId="06A3F91B"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Berdasarkan temuan tersebut, disarankan agar pembentuk undang-undang mengatur penyelesaian ternegosiasi terhadap korporasi pada tataran undang-undang, bukan peraturan teknis, dengan memuat pembatasan jenis tindak pidana, kewajiban pengakuan fakta, persetujuan pengadilan atas isi kesepakatan, publikasi kesepakatan, serta kewenangan melanjutkan penuntutan apabila korporasi ingkar. Kewajiban tata kelola kecerdasan buatan sebaiknya ditetapkan terlebih dahulu dalam regulasi administratif sektoral agar dapat berfungsi sebagai standar kepatuhan yang kemudian ditautkan sebagai dasar penilaian kelalaian korporasi dalam perkara pidana. Kejaksaan dan pengadilan perlu menyusun pedoman penilaian kualitas program kepatuhan dan pemenuhan kewajiban pemulihan, sedangkan penyidik perlu diperkuat kapasitasnya dalam pemeriksaan jejak keputusan algoritmik. Penelitian lanjutan disarankan menguji model ini secara empiris melalui analisis putusan perkara korporasi guna menilai konsistensi penerapan standar kesalahan dan efektivitas pemulihan kerugian korban.</w:t>
      </w:r>
    </w:p>
    <w:p w14:paraId="5B984358" w14:textId="77777777" w:rsidR="00DC6661" w:rsidRDefault="00000000">
      <w:pPr>
        <w:pStyle w:val="IEEEParagraph"/>
        <w:ind w:left="567" w:right="322" w:firstLine="567"/>
        <w:rPr>
          <w:rStyle w:val="longtext"/>
          <w:rFonts w:ascii="Segoe UI" w:hAnsi="Segoe UI" w:cs="Segoe UI"/>
          <w:sz w:val="22"/>
          <w:szCs w:val="22"/>
          <w:lang w:val="id-ID"/>
        </w:rPr>
      </w:pPr>
      <w:r>
        <w:rPr>
          <w:rStyle w:val="longtext"/>
          <w:rFonts w:ascii="Segoe UI" w:hAnsi="Segoe UI" w:cs="Segoe UI"/>
          <w:sz w:val="22"/>
          <w:szCs w:val="22"/>
          <w:shd w:val="clear" w:color="auto" w:fill="FFFFFF"/>
          <w:lang w:val="id-ID"/>
        </w:rPr>
        <w:t>Penelitian ini juga memiliki keterbatasan yang perlu ditegaskan. Karena Indonesia belum memiliki praktik penyelesaian ternegosiasi terhadap korporasi, penilaian kelayakan model bertumpu pada analisis komparatif dan proyeksi normatif, bukan pada pengujian empiris atas kinerja instrumen tersebut di lapangan. Karena itu, model tiga pilar yang ditawarkan sebaiknya dibaca sebagai kerangka awal pembaruan yang masih memerlukan pengujian melalui evaluasi kebijakan dan penelitian empiris setelah instrumen terkait diadopsi dalam hukum positif.</w:t>
      </w:r>
    </w:p>
    <w:p w14:paraId="7B5C6C32" w14:textId="77777777" w:rsidR="00DC6661" w:rsidRPr="00237E4A" w:rsidRDefault="00000000">
      <w:pPr>
        <w:pStyle w:val="IEEEHeading1"/>
        <w:numPr>
          <w:ilvl w:val="0"/>
          <w:numId w:val="0"/>
        </w:numPr>
        <w:ind w:firstLine="567"/>
        <w:jc w:val="both"/>
        <w:rPr>
          <w:rFonts w:ascii="Segoe UI" w:hAnsi="Segoe UI" w:cs="Segoe UI"/>
          <w:b/>
          <w:bCs/>
          <w:sz w:val="24"/>
          <w:lang w:val="sv-SE"/>
        </w:rPr>
      </w:pPr>
      <w:r w:rsidRPr="00237E4A">
        <w:rPr>
          <w:rFonts w:ascii="Segoe UI" w:hAnsi="Segoe UI" w:cs="Segoe UI"/>
          <w:b/>
          <w:bCs/>
          <w:sz w:val="24"/>
          <w:lang w:val="sv-SE"/>
        </w:rPr>
        <w:t>Referensi</w:t>
      </w:r>
    </w:p>
    <w:p w14:paraId="23AFA337"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Afifah, N. N. (2024). Perbandingan antara pendekatan keadilan restoratif dan pendekatan hukuman adat dalam kasus tindak pidana ringan. </w:t>
      </w:r>
      <w:r>
        <w:rPr>
          <w:rFonts w:cs="Segoe UI"/>
          <w:i/>
          <w:iCs/>
          <w:noProof/>
        </w:rPr>
        <w:t>Syntax Idea</w:t>
      </w:r>
      <w:r>
        <w:rPr>
          <w:rFonts w:cs="Segoe UI"/>
          <w:noProof/>
        </w:rPr>
        <w:t>. https://doi.org/10.46799/syntax-idea.v6i6.3749</w:t>
      </w:r>
    </w:p>
    <w:p w14:paraId="241541EF"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Aksa, F. N., Widia, S. M., &amp; Hanani, S. (2025). Perbandingan metode penelitian yuridis normatif dan yuridis empiris. </w:t>
      </w:r>
      <w:r>
        <w:rPr>
          <w:rFonts w:cs="Segoe UI"/>
          <w:i/>
          <w:iCs/>
          <w:noProof/>
        </w:rPr>
        <w:t>Nusantara: Jurnal Ilmu Pengetahuan Sosial</w:t>
      </w:r>
      <w:r>
        <w:rPr>
          <w:rFonts w:cs="Segoe UI"/>
          <w:noProof/>
        </w:rPr>
        <w:t>.</w:t>
      </w:r>
    </w:p>
    <w:p w14:paraId="5E8F3634"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lastRenderedPageBreak/>
        <w:t xml:space="preserve">Alaydrus, H. (2025). Penerapan Deferred Prosecution Agreement (DPA) sebagai alternatif penegakan hukum pada tindak pidana korporasi di Indonesia. </w:t>
      </w:r>
      <w:r>
        <w:rPr>
          <w:rFonts w:cs="Segoe UI"/>
          <w:i/>
          <w:iCs/>
          <w:noProof/>
        </w:rPr>
        <w:t>Al-Zayn: Jurnal Ilmu Sosial &amp; Hukum</w:t>
      </w:r>
      <w:r>
        <w:rPr>
          <w:rFonts w:cs="Segoe UI"/>
          <w:noProof/>
        </w:rPr>
        <w:t>.</w:t>
      </w:r>
    </w:p>
    <w:p w14:paraId="371F5490"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Arlen, J. (1994). The potentially perverse effects of corporate criminal liability. </w:t>
      </w:r>
      <w:r>
        <w:rPr>
          <w:rFonts w:cs="Segoe UI"/>
          <w:i/>
          <w:iCs/>
          <w:noProof/>
        </w:rPr>
        <w:t>The Journal of Legal Studies</w:t>
      </w:r>
      <w:r>
        <w:rPr>
          <w:rFonts w:cs="Segoe UI"/>
          <w:noProof/>
        </w:rPr>
        <w:t>. https://doi.org/10.1086/467947</w:t>
      </w:r>
    </w:p>
    <w:p w14:paraId="47FBF2D3"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Cutolo, M. (2024). Corporate criminal liability and artificial intelligence: Doctrinal overview, problems and perspectives. </w:t>
      </w:r>
      <w:r>
        <w:rPr>
          <w:rFonts w:cs="Segoe UI"/>
          <w:i/>
          <w:iCs/>
          <w:noProof/>
        </w:rPr>
        <w:t>Open Access Journal of Criminology Investigation &amp; Justice</w:t>
      </w:r>
      <w:r>
        <w:rPr>
          <w:rFonts w:cs="Segoe UI"/>
          <w:noProof/>
        </w:rPr>
        <w:t>. https://doi.org/10.23880/oajcij-16000122</w:t>
      </w:r>
    </w:p>
    <w:p w14:paraId="279F72AD"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Elpina. (2024). Analisis hukum terhadap implementasi teknologi kecerdasan buatan (AI) dalam sistem informasi bisnis. </w:t>
      </w:r>
      <w:r>
        <w:rPr>
          <w:rFonts w:cs="Segoe UI"/>
          <w:i/>
          <w:iCs/>
          <w:noProof/>
        </w:rPr>
        <w:t>Digital Transformation Technology</w:t>
      </w:r>
      <w:r>
        <w:rPr>
          <w:rFonts w:cs="Segoe UI"/>
          <w:noProof/>
        </w:rPr>
        <w:t>. https://doi.org/10.47709/digitech.v4i1.3696</w:t>
      </w:r>
    </w:p>
    <w:p w14:paraId="2AFF3183"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Fadhila, K. W. (2024). Reformasi hukum pidana dan pertanggungjawaban korporasi dalam UU KUHP 2023. </w:t>
      </w:r>
      <w:r>
        <w:rPr>
          <w:rFonts w:cs="Segoe UI"/>
          <w:i/>
          <w:iCs/>
          <w:noProof/>
        </w:rPr>
        <w:t>Action Research Literate</w:t>
      </w:r>
      <w:r>
        <w:rPr>
          <w:rFonts w:cs="Segoe UI"/>
          <w:noProof/>
        </w:rPr>
        <w:t>. https://doi.org/10.46799/arl.v8i3.277</w:t>
      </w:r>
    </w:p>
    <w:p w14:paraId="1B1B4030"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Garcia-Segura, L. A. (2024). The role of artificial intelligence in preventing corporate crime. </w:t>
      </w:r>
      <w:r>
        <w:rPr>
          <w:rFonts w:cs="Segoe UI"/>
          <w:i/>
          <w:iCs/>
          <w:noProof/>
        </w:rPr>
        <w:t>Journal of Economic Criminology</w:t>
      </w:r>
      <w:r>
        <w:rPr>
          <w:rFonts w:cs="Segoe UI"/>
          <w:noProof/>
        </w:rPr>
        <w:t>. https://doi.org/10.1016/j.jeconc.2024.100091</w:t>
      </w:r>
    </w:p>
    <w:p w14:paraId="7F7A43DB"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Hadrian, E., Putri, A. H., &amp; Hakim, L. (2022). Pertanggungjawaban pidana korporasi dalam tindak pidana korupsi. </w:t>
      </w:r>
      <w:r>
        <w:rPr>
          <w:rFonts w:cs="Segoe UI"/>
          <w:i/>
          <w:iCs/>
          <w:noProof/>
        </w:rPr>
        <w:t>Jurnal Hukum Pelita</w:t>
      </w:r>
      <w:r>
        <w:rPr>
          <w:rFonts w:cs="Segoe UI"/>
          <w:noProof/>
        </w:rPr>
        <w:t>. https://doi.org/10.37366/jh.v3i2.1464</w:t>
      </w:r>
    </w:p>
    <w:p w14:paraId="108A2145"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Harahap, I. P., Busyro, M., &amp; Faisal, M. (2025). Analisis etika dan legalitas penggunaan artificial intelligence (AI) dalam pengambilan keputusan hukum. </w:t>
      </w:r>
      <w:r>
        <w:rPr>
          <w:rFonts w:cs="Segoe UI"/>
          <w:i/>
          <w:iCs/>
          <w:noProof/>
        </w:rPr>
        <w:t>Jurnal Pendidikan Tambusai</w:t>
      </w:r>
      <w:r>
        <w:rPr>
          <w:rFonts w:cs="Segoe UI"/>
          <w:noProof/>
        </w:rPr>
        <w:t>.</w:t>
      </w:r>
    </w:p>
    <w:p w14:paraId="1E2B1F86"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Hersyanda, M. D., Lubis, I. S., Ikhwan, N., Septriani, D., &amp; Haqqi, M. (2024). Efektivitas sanksi pidana terhadap pengulangan kejahatan (residivisme) di Indonesia. </w:t>
      </w:r>
      <w:r>
        <w:rPr>
          <w:rFonts w:cs="Segoe UI"/>
          <w:i/>
          <w:iCs/>
          <w:noProof/>
        </w:rPr>
        <w:t>Jimmi: Jurnal Ilmiah Mahasiswa Multidisiplin</w:t>
      </w:r>
      <w:r>
        <w:rPr>
          <w:rFonts w:cs="Segoe UI"/>
          <w:noProof/>
        </w:rPr>
        <w:t>. https://doi.org/10.71153/jimmi.v1i3.141</w:t>
      </w:r>
    </w:p>
    <w:p w14:paraId="776507C8"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Johnson, D. G. (2021). Algorithmic accountability in the making. </w:t>
      </w:r>
      <w:r>
        <w:rPr>
          <w:rFonts w:cs="Segoe UI"/>
          <w:i/>
          <w:iCs/>
          <w:noProof/>
        </w:rPr>
        <w:t>Social Philosophy and Policy</w:t>
      </w:r>
      <w:r>
        <w:rPr>
          <w:rFonts w:cs="Segoe UI"/>
          <w:noProof/>
        </w:rPr>
        <w:t>. https://doi.org/10.1017/S0265052522000073</w:t>
      </w:r>
    </w:p>
    <w:p w14:paraId="79E87505"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Justiasari, I., Somawijaya, &amp; Sulistyani, W. (2024). Pemulihan kerugian korban tindak pidana penipuan dengan modus investasi ilegal. </w:t>
      </w:r>
      <w:r>
        <w:rPr>
          <w:rFonts w:cs="Segoe UI"/>
          <w:i/>
          <w:iCs/>
          <w:noProof/>
        </w:rPr>
        <w:t>Al Qalam: Jurnal Ilmiah Keagamaan dan Kemasyarakatan</w:t>
      </w:r>
      <w:r>
        <w:rPr>
          <w:rFonts w:cs="Segoe UI"/>
          <w:noProof/>
        </w:rPr>
        <w:t>. https://doi.org/10.35931/aq.v18i6.3537</w:t>
      </w:r>
    </w:p>
    <w:p w14:paraId="65DE3A46"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Kamaluddin, M., &amp; Mukminah, L. S. (2025). Urgensi pendekatan restoratif dalam sistem hukum Indonesia. </w:t>
      </w:r>
      <w:r>
        <w:rPr>
          <w:rFonts w:cs="Segoe UI"/>
          <w:i/>
          <w:iCs/>
          <w:noProof/>
        </w:rPr>
        <w:t>Jurnal Yustitia</w:t>
      </w:r>
      <w:r>
        <w:rPr>
          <w:rFonts w:cs="Segoe UI"/>
          <w:noProof/>
        </w:rPr>
        <w:t>.</w:t>
      </w:r>
    </w:p>
    <w:p w14:paraId="196E7A35"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Kusuma, W., Falih, M. R., Haq, A. A., &amp; Mahroennisa R., Y. A. (2025). Konsep pertanggungjawaban pidana korporasi (corporate crime) dalam sistem hukum pidana Indonesia. </w:t>
      </w:r>
      <w:r>
        <w:rPr>
          <w:rFonts w:cs="Segoe UI"/>
          <w:i/>
          <w:iCs/>
          <w:noProof/>
        </w:rPr>
        <w:t>PESHUM: Jurnal Pendidikan, Sosial dan Humaniora</w:t>
      </w:r>
      <w:r>
        <w:rPr>
          <w:rFonts w:cs="Segoe UI"/>
          <w:noProof/>
        </w:rPr>
        <w:t>. https://doi.org/10.56799/peshum.v5i1.14688</w:t>
      </w:r>
    </w:p>
    <w:p w14:paraId="3E52F083"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Mukhlis R, &amp; Sipatuhar, C. M. R. (2024). Eksistensi korporasi sebagai subjek hukum dalam pertanggungjawaban pidana dalam Kitab Undang-Undang Hukum Pidana (KUHP) baru. </w:t>
      </w:r>
      <w:r>
        <w:rPr>
          <w:rFonts w:cs="Segoe UI"/>
          <w:i/>
          <w:iCs/>
          <w:noProof/>
        </w:rPr>
        <w:t>Jurnal Hukum Das Sollen</w:t>
      </w:r>
      <w:r>
        <w:rPr>
          <w:rFonts w:cs="Segoe UI"/>
          <w:noProof/>
        </w:rPr>
        <w:t>. https://doi.org/10.32520/das-sollen.v10i1.3325</w:t>
      </w:r>
    </w:p>
    <w:p w14:paraId="0EE1A058"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Nainggolan, M. (2025). Transformasi penegakan hukum pidana dalam KUHP baru. </w:t>
      </w:r>
      <w:r>
        <w:rPr>
          <w:rFonts w:cs="Segoe UI"/>
          <w:i/>
          <w:iCs/>
          <w:noProof/>
        </w:rPr>
        <w:t>Dandapala</w:t>
      </w:r>
      <w:r>
        <w:rPr>
          <w:rFonts w:cs="Segoe UI"/>
          <w:noProof/>
        </w:rPr>
        <w:t>.</w:t>
      </w:r>
    </w:p>
    <w:p w14:paraId="00D0FFC7"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Nelson, F. M. (2022). In search of a Deferred Prosecution Agreement model for effective anti-corruption framework in Indonesia. </w:t>
      </w:r>
      <w:r>
        <w:rPr>
          <w:rFonts w:cs="Segoe UI"/>
          <w:i/>
          <w:iCs/>
          <w:noProof/>
        </w:rPr>
        <w:t>Hasanuddin Law Review</w:t>
      </w:r>
      <w:r>
        <w:rPr>
          <w:rFonts w:cs="Segoe UI"/>
          <w:noProof/>
        </w:rPr>
        <w:t>. https://doi.org/10.20956/halrev.v8i2.3292</w:t>
      </w:r>
    </w:p>
    <w:p w14:paraId="6CF1246C"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Peraturan Mahkamah Agung Republik Indonesia Nomor 13 Tahun 2016 tentang Tata Cara Penanganan Perkara Tindak Pidana oleh Korporasi.</w:t>
      </w:r>
    </w:p>
    <w:p w14:paraId="7A0F26BD"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Prasetyo, E. A., Lasmadi, S., &amp; Erwin. (2024). Pertanggungjawaban pidana dan penerapan mens rea dalam tindak pidana intersepsi di Indonesia. </w:t>
      </w:r>
      <w:r>
        <w:rPr>
          <w:rFonts w:cs="Segoe UI"/>
          <w:i/>
          <w:iCs/>
          <w:noProof/>
        </w:rPr>
        <w:t>Hukum Responsif</w:t>
      </w:r>
      <w:r>
        <w:rPr>
          <w:rFonts w:cs="Segoe UI"/>
          <w:noProof/>
        </w:rPr>
        <w:t>.</w:t>
      </w:r>
    </w:p>
    <w:p w14:paraId="324E0E6E"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Rahayu, D. D., Arifin, R., &amp; Zakaria, L. L. (2023). Criminal system disparity in the Indonesian </w:t>
      </w:r>
      <w:r>
        <w:rPr>
          <w:rFonts w:cs="Segoe UI"/>
          <w:noProof/>
        </w:rPr>
        <w:lastRenderedPageBreak/>
        <w:t xml:space="preserve">immigration law 2011. </w:t>
      </w:r>
      <w:r>
        <w:rPr>
          <w:rFonts w:cs="Segoe UI"/>
          <w:i/>
          <w:iCs/>
          <w:noProof/>
        </w:rPr>
        <w:t>Jurnal Ilmiah Kebijakan Hukum</w:t>
      </w:r>
      <w:r>
        <w:rPr>
          <w:rFonts w:cs="Segoe UI"/>
          <w:noProof/>
        </w:rPr>
        <w:t>. https://doi.org/10.30641/kebijakan.2023.v17.25-40</w:t>
      </w:r>
    </w:p>
    <w:p w14:paraId="778C6FD8"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Rosidi, A., Zainuddin, M., &amp; Arifiana, I. (2024). Metode dalam penelitian hukum normatif dan sosiologis (field research). </w:t>
      </w:r>
      <w:r>
        <w:rPr>
          <w:rFonts w:cs="Segoe UI"/>
          <w:i/>
          <w:iCs/>
          <w:noProof/>
        </w:rPr>
        <w:t>Journal Law and Government</w:t>
      </w:r>
      <w:r>
        <w:rPr>
          <w:rFonts w:cs="Segoe UI"/>
          <w:noProof/>
        </w:rPr>
        <w:t>. https://doi.org/10.31764/jlag.v2i1.21606</w:t>
      </w:r>
    </w:p>
    <w:p w14:paraId="61ABA229"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Ruslan, M. I. M. (2025). Keadilan restoratif bagi anak pelaku tindak pidana siber di Indonesia: Analisis normatif dan perspektif kriminologi. </w:t>
      </w:r>
      <w:r>
        <w:rPr>
          <w:rFonts w:cs="Segoe UI"/>
          <w:i/>
          <w:iCs/>
          <w:noProof/>
        </w:rPr>
        <w:t>Indonesian Journal of Intellectual Publication</w:t>
      </w:r>
      <w:r>
        <w:rPr>
          <w:rFonts w:cs="Segoe UI"/>
          <w:noProof/>
        </w:rPr>
        <w:t>. https://doi.org/10.51577/ijipublication.v5i3.711</w:t>
      </w:r>
    </w:p>
    <w:p w14:paraId="1078DFEE"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Suhaimi. (2018). Hukum dan pendekatan dalam penelitian hukum normatif. </w:t>
      </w:r>
      <w:r>
        <w:rPr>
          <w:rFonts w:cs="Segoe UI"/>
          <w:i/>
          <w:iCs/>
          <w:noProof/>
        </w:rPr>
        <w:t>Jurnal Yustitia</w:t>
      </w:r>
      <w:r>
        <w:rPr>
          <w:rFonts w:cs="Segoe UI"/>
          <w:noProof/>
        </w:rPr>
        <w:t>.</w:t>
      </w:r>
    </w:p>
    <w:p w14:paraId="0833698F"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Taniady, V., Ohoiwutun, Y. A. T., &amp; Samosir, S. S. M. (2023). Penerapan Deferred Prosecution Agreement (DPA) dalam tindak pidana korupsi oleh korporasi di Indonesia. </w:t>
      </w:r>
      <w:r>
        <w:rPr>
          <w:rFonts w:cs="Segoe UI"/>
          <w:i/>
          <w:iCs/>
          <w:noProof/>
        </w:rPr>
        <w:t>Jurnal Magister Hukum Udayana</w:t>
      </w:r>
      <w:r>
        <w:rPr>
          <w:rFonts w:cs="Segoe UI"/>
          <w:noProof/>
        </w:rPr>
        <w:t>.</w:t>
      </w:r>
    </w:p>
    <w:p w14:paraId="376539FD"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Undang-Undang Republik Indonesia Nomor 1 Tahun 2023 tentang Kitab Undang-Undang Hukum Pidana.</w:t>
      </w:r>
    </w:p>
    <w:p w14:paraId="416E6ABD"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Undang-Undang Republik Indonesia Nomor 20 Tahun 2025 tentang Hukum Acara Pidana.</w:t>
      </w:r>
    </w:p>
    <w:p w14:paraId="4401A79B"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Valentino, C. R. (2025). Restorative justice as an alternative in the Indonesian criminal justice system. </w:t>
      </w:r>
      <w:r>
        <w:rPr>
          <w:rFonts w:cs="Segoe UI"/>
          <w:i/>
          <w:iCs/>
          <w:noProof/>
        </w:rPr>
        <w:t>Journal of Progressive Law and Legal Studies</w:t>
      </w:r>
      <w:r>
        <w:rPr>
          <w:rFonts w:cs="Segoe UI"/>
          <w:noProof/>
        </w:rPr>
        <w:t>. https://doi.org/10.59653/jplls.v3i03.1864</w:t>
      </w:r>
    </w:p>
    <w:p w14:paraId="0E87C213"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Yusuf, M. (2022). Urgensi pembaharuan kebijakan hukum pidana terhadap pertanggungjawaban pidana kejahatan korporasi. </w:t>
      </w:r>
      <w:r>
        <w:rPr>
          <w:rFonts w:cs="Segoe UI"/>
          <w:i/>
          <w:iCs/>
          <w:noProof/>
        </w:rPr>
        <w:t>Jurnal Al Mujaddid Humaniora</w:t>
      </w:r>
      <w:r>
        <w:rPr>
          <w:rFonts w:cs="Segoe UI"/>
          <w:noProof/>
        </w:rPr>
        <w:t>. https://doi.org/10.58553/jalhu.v8i2.126</w:t>
      </w:r>
    </w:p>
    <w:p w14:paraId="092D0170"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Yusuf, M., Zulyadi, R., &amp; Isnaini. (2023). Efektivitas penerapan pendekatan keadilan restoratif dalam penyelesaian perkara pidana dengan korban anak pada wilayah hukum Kepolisian Resor Sibolga. </w:t>
      </w:r>
      <w:r>
        <w:rPr>
          <w:rFonts w:cs="Segoe UI"/>
          <w:i/>
          <w:iCs/>
          <w:noProof/>
        </w:rPr>
        <w:t>Journal of Education, Humaniora and Social Sciences (JEHSS)</w:t>
      </w:r>
      <w:r>
        <w:rPr>
          <w:rFonts w:cs="Segoe UI"/>
          <w:noProof/>
        </w:rPr>
        <w:t>. https://doi.org/10.34007/jehss.v5i4.1685</w:t>
      </w:r>
    </w:p>
    <w:p w14:paraId="1E9CD173"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Zakaria, A., Madjid, A., Sugiri, B., Sihabudin, &amp; Hassan, F. M. (2024). Imposing corporate death penalty in Indonesia: A discourse on penalisation, corporate culture, and Deferred Prosecution Agreement. </w:t>
      </w:r>
      <w:r>
        <w:rPr>
          <w:rFonts w:cs="Segoe UI"/>
          <w:i/>
          <w:iCs/>
          <w:noProof/>
        </w:rPr>
        <w:t>Udayana Journal of Law and Culture</w:t>
      </w:r>
      <w:r>
        <w:rPr>
          <w:rFonts w:cs="Segoe UI"/>
          <w:noProof/>
        </w:rPr>
        <w:t>. https://doi.org/10.24843/UJLC.2024.v08.i02.p04</w:t>
      </w:r>
    </w:p>
    <w:p w14:paraId="011BDF41"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Zhou, Y. (2025). Raising the deterrent effect of the U.S. Deferred Prosecution Agreement: New perspectives on the U.S. from the U.K. and Jersey. </w:t>
      </w:r>
      <w:r>
        <w:rPr>
          <w:rFonts w:cs="Segoe UI"/>
          <w:i/>
          <w:iCs/>
          <w:noProof/>
        </w:rPr>
        <w:t>Journal of Economic Criminology</w:t>
      </w:r>
      <w:r>
        <w:rPr>
          <w:rFonts w:cs="Segoe UI"/>
          <w:noProof/>
        </w:rPr>
        <w:t>. https://doi.org/10.1016/j.jeconc.2025.100189</w:t>
      </w:r>
    </w:p>
    <w:p w14:paraId="2550761D" w14:textId="77777777" w:rsidR="00DC6661" w:rsidRDefault="00000000">
      <w:pPr>
        <w:widowControl w:val="0"/>
        <w:autoSpaceDE w:val="0"/>
        <w:autoSpaceDN w:val="0"/>
        <w:adjustRightInd w:val="0"/>
        <w:spacing w:after="0" w:line="240" w:lineRule="auto"/>
        <w:ind w:left="1418" w:right="646" w:hanging="851"/>
        <w:contextualSpacing/>
        <w:rPr>
          <w:rFonts w:cs="Segoe UI"/>
          <w:noProof/>
        </w:rPr>
      </w:pPr>
      <w:r>
        <w:rPr>
          <w:rFonts w:cs="Segoe UI"/>
          <w:noProof/>
        </w:rPr>
        <w:t xml:space="preserve">Zulkifli, &amp; Sastro, M. (2022). Penegakan hukum pidana terhadap kejahatan korporasi di sektor kehutanan di Kabupaten Aceh Tengah. </w:t>
      </w:r>
      <w:r>
        <w:rPr>
          <w:rFonts w:cs="Segoe UI"/>
          <w:i/>
          <w:iCs/>
          <w:noProof/>
        </w:rPr>
        <w:t>Suloh: Jurnal Fakultas Hukum Universitas Malikussaleh</w:t>
      </w:r>
      <w:r>
        <w:rPr>
          <w:rFonts w:cs="Segoe UI"/>
          <w:noProof/>
        </w:rPr>
        <w:t>. https://doi.org/10.29103/sjp.v10i1.7943</w:t>
      </w:r>
    </w:p>
    <w:p w14:paraId="1AD0048A" w14:textId="77777777" w:rsidR="003A4408" w:rsidRPr="003A4408" w:rsidRDefault="003A4408" w:rsidP="003A4408">
      <w:pPr>
        <w:spacing w:line="240" w:lineRule="auto"/>
        <w:ind w:left="1418" w:right="645" w:hanging="851"/>
        <w:rPr>
          <w:rFonts w:cs="Segoe UI"/>
        </w:rPr>
      </w:pP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E18F2" w14:textId="77777777" w:rsidR="000A48FF" w:rsidRDefault="000A48FF" w:rsidP="009B0AF6">
      <w:pPr>
        <w:spacing w:after="0" w:line="240" w:lineRule="auto"/>
      </w:pPr>
      <w:r>
        <w:separator/>
      </w:r>
    </w:p>
  </w:endnote>
  <w:endnote w:type="continuationSeparator" w:id="0">
    <w:p w14:paraId="7E7C5495" w14:textId="77777777" w:rsidR="000A48FF" w:rsidRDefault="000A48F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45DBCD6D" w14:textId="77777777"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Jeremia Bony Vatius Immanuel Rondonuwu</w:t>
        </w:r>
      </w:p>
      <w:p w14:paraId="1C64966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21877" w14:textId="77777777" w:rsidR="000A48FF" w:rsidRDefault="000A48FF" w:rsidP="009B0AF6">
      <w:pPr>
        <w:spacing w:after="0" w:line="240" w:lineRule="auto"/>
      </w:pPr>
      <w:r>
        <w:separator/>
      </w:r>
    </w:p>
  </w:footnote>
  <w:footnote w:type="continuationSeparator" w:id="0">
    <w:p w14:paraId="31B892F6" w14:textId="77777777" w:rsidR="000A48FF" w:rsidRDefault="000A48F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07FD"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DCD28"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A48FF"/>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37E4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47F7A"/>
    <w:rsid w:val="0045010A"/>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33B05"/>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76B15"/>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6661"/>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00B51"/>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6483</Words>
  <Characters>36957</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6</cp:revision>
  <cp:lastPrinted>2023-04-17T18:59:00Z</cp:lastPrinted>
  <dcterms:created xsi:type="dcterms:W3CDTF">2026-01-24T05:16:00Z</dcterms:created>
  <dcterms:modified xsi:type="dcterms:W3CDTF">2026-08-14T07:37:00Z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