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9FA64"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36F7D846"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5D30B857"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311CC350"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377DA882" w14:textId="77777777" w:rsidR="0010607A" w:rsidRDefault="00886EB8" w:rsidP="00E109A4">
      <w:pPr>
        <w:spacing w:after="0" w:line="240" w:lineRule="auto"/>
        <w:jc w:val="center"/>
        <w:rPr>
          <w:rFonts w:cs="Segoe UI"/>
          <w:b/>
        </w:rPr>
      </w:pPr>
      <w:r>
        <w:rPr>
          <w:rFonts w:cs="Segoe UI"/>
          <w:b/>
        </w:rPr>
        <w:t>Universitas Kristen Indonesia Paulus</w:t>
      </w:r>
    </w:p>
    <w:p w14:paraId="6AB651E6"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6F70DA1D"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576C8A83"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7A0AA6B7" w14:textId="77777777" w:rsidR="00676A1B" w:rsidRPr="002D6A6F" w:rsidRDefault="006F20C0" w:rsidP="00100027">
      <w:pPr>
        <w:tabs>
          <w:tab w:val="right" w:pos="9026"/>
        </w:tabs>
        <w:spacing w:after="0" w:line="240" w:lineRule="auto"/>
        <w:jc w:val="center"/>
        <w:rPr>
          <w:rFonts w:cs="Segoe UI"/>
          <w:b/>
          <w:sz w:val="30"/>
          <w:szCs w:val="30"/>
          <w:lang w:val="sv-SE"/>
        </w:rPr>
      </w:pPr>
      <w:r>
        <w:rPr>
          <w:rFonts w:cs="Segoe UI"/>
          <w:b/>
          <w:bCs/>
          <w:sz w:val="30"/>
          <w:szCs w:val="30"/>
          <w:lang w:val="id"/>
        </w:rPr>
        <w:t>Efektivitas Penegakan Hukum terhadap Tindak Pidana Kekerasan dalam Rumah Tangga: Antara Norma Hukum dan Realitas Perlindungan Korban</w:t>
      </w:r>
    </w:p>
    <w:p w14:paraId="05AAC69A" w14:textId="77777777" w:rsidR="00100027" w:rsidRPr="002D6A6F" w:rsidRDefault="00100027" w:rsidP="007677D4">
      <w:pPr>
        <w:tabs>
          <w:tab w:val="right" w:pos="9026"/>
        </w:tabs>
        <w:spacing w:after="0" w:line="240" w:lineRule="auto"/>
        <w:jc w:val="left"/>
        <w:rPr>
          <w:rFonts w:cs="Segoe UI"/>
          <w:i/>
          <w:sz w:val="24"/>
          <w:szCs w:val="20"/>
          <w:lang w:val="sv-SE"/>
        </w:rPr>
      </w:pPr>
    </w:p>
    <w:p w14:paraId="0391A8D6" w14:textId="77777777" w:rsidR="00361A98" w:rsidRPr="00C676AF" w:rsidRDefault="00361A98" w:rsidP="00676A1B">
      <w:pPr>
        <w:tabs>
          <w:tab w:val="right" w:pos="9026"/>
        </w:tabs>
        <w:spacing w:after="0" w:line="240" w:lineRule="auto"/>
        <w:rPr>
          <w:rFonts w:cs="Segoe UI"/>
          <w:sz w:val="20"/>
          <w:szCs w:val="20"/>
        </w:rPr>
      </w:pPr>
    </w:p>
    <w:p w14:paraId="0606D7A3" w14:textId="7365B189" w:rsidR="00AC334E" w:rsidRPr="00886EB8" w:rsidRDefault="002D6A6F" w:rsidP="00C00D09">
      <w:pPr>
        <w:tabs>
          <w:tab w:val="right" w:pos="9026"/>
        </w:tabs>
        <w:spacing w:after="0" w:line="240" w:lineRule="auto"/>
        <w:rPr>
          <w:rFonts w:cs="Segoe UI"/>
          <w:b/>
          <w:bCs/>
          <w:sz w:val="24"/>
          <w:szCs w:val="24"/>
          <w:lang w:val="fi-FI"/>
        </w:rPr>
      </w:pPr>
      <w:proofErr w:type="spellStart"/>
      <w:r>
        <w:rPr>
          <w:rFonts w:cs="Segoe UI"/>
          <w:b/>
          <w:bCs/>
          <w:sz w:val="24"/>
          <w:szCs w:val="24"/>
          <w:lang w:val="fi-FI"/>
        </w:rPr>
        <w:t>Nemos</w:t>
      </w:r>
      <w:proofErr w:type="spellEnd"/>
      <w:r>
        <w:rPr>
          <w:rFonts w:cs="Segoe UI"/>
          <w:b/>
          <w:bCs/>
          <w:sz w:val="24"/>
          <w:szCs w:val="24"/>
          <w:lang w:val="fi-FI"/>
        </w:rPr>
        <w:t xml:space="preserve"> Muhadar</w:t>
      </w:r>
      <w:r w:rsidR="001E0508">
        <w:rPr>
          <w:rFonts w:cs="Segoe UI"/>
          <w:b/>
          <w:bCs/>
          <w:sz w:val="24"/>
          <w:szCs w:val="24"/>
          <w:vertAlign w:val="superscript"/>
          <w:lang w:val="fi-FI"/>
        </w:rPr>
        <w:t>1*</w:t>
      </w:r>
    </w:p>
    <w:p w14:paraId="4F8B3D0A"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2BB184A5" w14:textId="572027A5" w:rsidR="00BE12F5" w:rsidRPr="007677D4" w:rsidRDefault="002D6A6F" w:rsidP="00241D17">
      <w:pPr>
        <w:tabs>
          <w:tab w:val="right" w:pos="9026"/>
        </w:tabs>
        <w:spacing w:after="0" w:line="240" w:lineRule="auto"/>
        <w:rPr>
          <w:rFonts w:cs="Segoe UI"/>
          <w:i/>
          <w:sz w:val="18"/>
          <w:szCs w:val="18"/>
          <w:lang w:val="en-US"/>
        </w:rPr>
      </w:pPr>
      <w:r>
        <w:rPr>
          <w:rFonts w:cs="Segoe UI"/>
          <w:i/>
          <w:sz w:val="18"/>
          <w:szCs w:val="18"/>
          <w:lang w:val="fi-FI"/>
        </w:rPr>
        <w:t>nemosmuhadar@yahoo.com</w:t>
      </w:r>
      <w:r w:rsidR="006F20C0">
        <w:rPr>
          <w:rFonts w:cs="Segoe UI"/>
          <w:i/>
          <w:sz w:val="18"/>
          <w:szCs w:val="18"/>
          <w:lang w:val="en-US"/>
        </w:rPr>
        <w:t>(</w:t>
      </w:r>
      <w:proofErr w:type="spellStart"/>
      <w:r w:rsidR="006F20C0">
        <w:rPr>
          <w:rFonts w:cs="Segoe UI"/>
          <w:i/>
          <w:sz w:val="18"/>
          <w:szCs w:val="18"/>
          <w:lang w:val="en-US"/>
        </w:rPr>
        <w:t>Korespondensi</w:t>
      </w:r>
      <w:proofErr w:type="spellEnd"/>
      <w:r w:rsidR="006F20C0">
        <w:rPr>
          <w:rFonts w:cs="Segoe UI"/>
          <w:i/>
          <w:sz w:val="18"/>
          <w:szCs w:val="18"/>
          <w:lang w:val="en-US"/>
        </w:rPr>
        <w:t>)*</w:t>
      </w:r>
    </w:p>
    <w:p w14:paraId="543A89E1"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5B96E82F" w14:textId="77777777" w:rsidTr="00550BFE">
        <w:trPr>
          <w:trHeight w:val="189"/>
        </w:trPr>
        <w:tc>
          <w:tcPr>
            <w:tcW w:w="1171" w:type="pct"/>
            <w:tcBorders>
              <w:top w:val="single" w:sz="4" w:space="0" w:color="auto"/>
              <w:bottom w:val="single" w:sz="4" w:space="0" w:color="auto"/>
            </w:tcBorders>
          </w:tcPr>
          <w:p w14:paraId="64C851B4"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3F365D7"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0B5F37EB" w14:textId="77777777" w:rsidTr="00550BFE">
        <w:trPr>
          <w:trHeight w:val="1678"/>
        </w:trPr>
        <w:tc>
          <w:tcPr>
            <w:tcW w:w="1171" w:type="pct"/>
            <w:tcBorders>
              <w:top w:val="single" w:sz="4" w:space="0" w:color="auto"/>
              <w:bottom w:val="single" w:sz="4" w:space="0" w:color="auto"/>
            </w:tcBorders>
          </w:tcPr>
          <w:p w14:paraId="47562F50"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5061DA8A" w14:textId="77777777"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domestic violence, law enforcement effectiveness, victim protection, complaint offence, restorative justice, criminal law reform</w:t>
            </w:r>
          </w:p>
          <w:p w14:paraId="5509CF1A" w14:textId="77777777" w:rsidR="001E0508" w:rsidRPr="00332E82" w:rsidRDefault="001E0508" w:rsidP="00417363">
            <w:pPr>
              <w:spacing w:after="0" w:line="240" w:lineRule="auto"/>
              <w:rPr>
                <w:rFonts w:eastAsia="Times New Roman" w:cs="Segoe UI"/>
                <w:b/>
                <w:iCs/>
                <w:color w:val="181717"/>
                <w:sz w:val="20"/>
                <w:szCs w:val="20"/>
                <w:lang w:val="en-US"/>
              </w:rPr>
            </w:pPr>
          </w:p>
          <w:p w14:paraId="745AF2A8"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601C0B8B" w14:textId="77777777"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kekerasan dalam rumah tangga, efektivitas penegakan hukum, perlindungan korban, delik aduan, keadilan restoratif, pembaruan hukum pidana</w:t>
            </w:r>
          </w:p>
        </w:tc>
        <w:tc>
          <w:tcPr>
            <w:tcW w:w="3829" w:type="pct"/>
            <w:tcBorders>
              <w:top w:val="single" w:sz="4" w:space="0" w:color="auto"/>
              <w:bottom w:val="single" w:sz="4" w:space="0" w:color="auto"/>
            </w:tcBorders>
          </w:tcPr>
          <w:p w14:paraId="2EF3BEB8" w14:textId="77777777"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Domestic violence remains one of the most frequently reported forms of gender-based violence in Indonesia, yet enforcement outcomes lag far behind the protective promise of the law. This study analyses the effectiveness of law enforcement against domestic violence by contrasting the normative architecture of Law Number 23 of 2004 on the Elimination of Domestic Violence with the empirical reality of victim protection. The research employs normative legal research supported by secondary analysis of prior empirical studies, using statutory, conceptual, and case approaches. The findings show, first, that the statute provides a comprehensive normative framework covering four forms of violence, graduated penalties, protection orders, and integrated services. Second, effectiveness is obstructed at five points: reporting, investigation, evidence, protection orders, and recovery, so that many cases end before adjudication. Third, the classification of light physical violence, light psychological violence, and marital sexual violence as complaint offences, combined with the routine use of family mediation, shifts the burden of protection onto victims who are economically and psychologically dependent on perpetrators. The study proposes a victim-responsive enforcement model integrating gender-sensitive procedure, restitution, and inter-agency services, and argues that the new National Criminal Code and Criminal Procedure Code require harmonisation with sexual violence legislation.</w:t>
            </w:r>
          </w:p>
          <w:p w14:paraId="57E86FE9" w14:textId="77777777" w:rsidR="001E0508" w:rsidRPr="00C676AF" w:rsidRDefault="001E0508" w:rsidP="001E0508">
            <w:pPr>
              <w:spacing w:after="0" w:line="240" w:lineRule="auto"/>
              <w:rPr>
                <w:rFonts w:eastAsia="Times New Roman" w:cs="Segoe UI"/>
                <w:sz w:val="20"/>
                <w:szCs w:val="20"/>
              </w:rPr>
            </w:pPr>
          </w:p>
          <w:p w14:paraId="0B1A1A09" w14:textId="77777777" w:rsidR="00886EB8" w:rsidRDefault="00886EB8" w:rsidP="001E0508">
            <w:pPr>
              <w:spacing w:after="0" w:line="240" w:lineRule="auto"/>
              <w:rPr>
                <w:rFonts w:eastAsia="Times New Roman" w:cs="Segoe UI"/>
                <w:b/>
                <w:iCs/>
                <w:sz w:val="20"/>
                <w:szCs w:val="20"/>
              </w:rPr>
            </w:pPr>
          </w:p>
          <w:p w14:paraId="03657D53" w14:textId="77777777"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Kekerasan dalam rumah tangga (KDRT) merupakan salah satu bentuk kekerasan berbasis gender yang paling banyak dilaporkan di Indonesia, namun capaian penegakan hukumnya masih jauh dari janji perlindungan yang dirumuskan undang-undang. Penelitian ini menganalisis efektivitas penegakan hukum terhadap tindak pidana KDRT dengan mempertentangkan arsitektur normatif Undang-Undang Nomor 23 Tahun 2004 tentang Penghapusan Kekerasan dalam Rumah Tangga dengan realitas empiris perlindungan korban. Penelitian menggunakan metode hukum </w:t>
            </w:r>
            <w:r>
              <w:rPr>
                <w:rFonts w:cs="Segoe UI"/>
                <w:color w:val="000000"/>
                <w:sz w:val="20"/>
                <w:szCs w:val="20"/>
                <w:shd w:val="clear" w:color="auto" w:fill="FFFFFF"/>
              </w:rPr>
              <w:lastRenderedPageBreak/>
              <w:t>normatif yang ditopang analisis sekunder atas temuan penelitian empiris terdahulu, dengan pendekatan perundang-undangan, konseptual, dan kasus. Hasil penelitian menunjukkan, pertama, undang-undang telah menyediakan kerangka normatif yang komprehensif meliputi empat bentuk kekerasan, ancaman pidana berjenjang, perintah perlindungan, dan layanan terpadu. Kedua, efektivitasnya terhambat pada lima titik, yaitu pelaporan, penyidikan, pembuktian, perintah perlindungan, dan pemulihan, sehingga banyak perkara berhenti sebelum sampai ke pengadilan. Ketiga, penempatan kekerasan fisik ringan, psikis ringan, dan kekerasan seksual dalam lingkup suami-istri sebagai delik aduan yang dipadukan dengan praktik mediasi kekeluargaan memindahkan beban perlindungan kepada korban yang justru bergantung secara ekonomi dan psikologis pada pelaku. Penelitian menawarkan model penegakan hukum yang responsif korban.</w:t>
            </w:r>
          </w:p>
          <w:p w14:paraId="67859983" w14:textId="77777777" w:rsidR="001E0508" w:rsidRPr="00332E82" w:rsidRDefault="001E0508" w:rsidP="001E0508">
            <w:pPr>
              <w:spacing w:after="0" w:line="240" w:lineRule="auto"/>
              <w:rPr>
                <w:rFonts w:eastAsia="Times New Roman" w:cs="Segoe UI"/>
                <w:iCs/>
                <w:sz w:val="20"/>
                <w:szCs w:val="20"/>
                <w:lang w:val="en-ID"/>
              </w:rPr>
            </w:pPr>
          </w:p>
        </w:tc>
      </w:tr>
      <w:tr w:rsidR="00241D17" w:rsidRPr="00C676AF" w14:paraId="5D9FA59E" w14:textId="77777777" w:rsidTr="00550BFE">
        <w:trPr>
          <w:trHeight w:val="161"/>
        </w:trPr>
        <w:tc>
          <w:tcPr>
            <w:tcW w:w="5000" w:type="pct"/>
            <w:gridSpan w:val="2"/>
            <w:tcBorders>
              <w:top w:val="single" w:sz="4" w:space="0" w:color="auto"/>
              <w:bottom w:val="single" w:sz="4" w:space="0" w:color="auto"/>
            </w:tcBorders>
          </w:tcPr>
          <w:p w14:paraId="5EF0F97A" w14:textId="7DBA6FB2"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xml:space="preserve">:  </w:t>
            </w:r>
            <w:r w:rsidR="002D6A6F">
              <w:rPr>
                <w:rFonts w:cs="Segoe UI"/>
                <w:sz w:val="20"/>
                <w:szCs w:val="20"/>
              </w:rPr>
              <w:t>Diterima: ……………, Disetujui: ……………, Dipublikasikan: …………… (diisi oleh panitia)</w:t>
            </w:r>
          </w:p>
        </w:tc>
      </w:tr>
    </w:tbl>
    <w:p w14:paraId="50A1989B" w14:textId="77777777"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626855F6" w14:textId="77777777" w:rsidR="00EE0E4F" w:rsidRDefault="00000000">
      <w:pPr>
        <w:pStyle w:val="Heading3"/>
        <w:ind w:left="1134" w:right="322" w:hanging="425"/>
      </w:pPr>
      <w:r>
        <w:t>PENDAHULUAN</w:t>
      </w:r>
    </w:p>
    <w:p w14:paraId="57B6AE89"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Rumah tangga secara ideal merupakan ruang perlindungan pertama bagi setiap anggotanya, tempat berlangsungnya pembentukan karakter, penanaman nilai, dan pemenuhan kebutuhan dasar. Kenyataannya, ruang privat tersebut juga dapat berubah menjadi tempat berlangsungnya kekerasan yang paling sulit dijangkau hukum. Kekerasan dalam rumah tangga (KDRT) merupakan fenomena laten yang terus berulang di tengah masyarakat Indonesia dan berdampak serius terhadap kondisi fisik, mental, dan sosial korban, terutama perempuan dan anak sebagai kelompok paling rentan (Sitompul, 2025).</w:t>
      </w:r>
    </w:p>
    <w:p w14:paraId="16529464"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Data yang dihimpun Komisi Nasional Anti Kekerasan terhadap Perempuan memperlihatkan bahwa kekerasan berbasis gender di ranah privat mendominasi laporan yang masuk, dengan kekerasan terhadap istri menempati urutan pertama dan mayoritas korban berada pada rentang usia produktif (Setiawan et al., 2024; Sitompul, 2025). Dominasi tersebut menunjukkan bahwa rumah tangga bukanlah ruang yang sepenuhnya aman, sekaligus menandakan bahwa persoalan ini bersifat struktural dan tidak dapat direduksi menjadi konflik personal antarpasangan.</w:t>
      </w:r>
    </w:p>
    <w:p w14:paraId="791372E7"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Dampak yang ditimbulkan bersifat berlapis dan berjangka panjang. Korban dapat mengalami cedera fisik, trauma psikologis berupa kecemasan, depresi, dan gangguan tidur, isolasi sosial, gangguan kesehatan, hingga kerugian ekonomi akibat kehilangan pekerjaan atau biaya pengobatan (Setiawan et al., 2024). Anak yang menyaksikan atau turut menjadi korban berisiko tumbuh dengan sikap tertutup dan berpeluang mengulang pola kekerasan pada kehidupan dewasanya. Dengan demikian, kekerasan dalam rumah tangga bukan sekadar pelanggaran terhadap kepentingan hukum individu, melainkan persoalan lintas generasi yang membebani negara melalui biaya kesehatan, kesejahteraan sosial, dan penegakan hukum.</w:t>
      </w:r>
    </w:p>
    <w:p w14:paraId="7A2BF90E"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Dalam perspektif hak asasi manusia, kekerasan dalam rumah tangga merupakan bentuk diskriminasi dan kejahatan terhadap martabat kemanusiaan yang menuntut tanggung jawab negara untuk mencegah, melindungi, dan memulihkan (Setiawan et al., 2024). Kewajiban tersebut tidak berhenti pada pembentukan undang-undang, tetapi mencakup kewajiban memastikan norma benar-benar dapat diakses dan bekerja bagi korban. Karena itu, pertanyaan yang relevan hari ini bukan lagi apakah negara telah mengatur, melainkan sejauh mana pengaturan tersebut menghasilkan perlindungan yang nyata.</w:t>
      </w:r>
    </w:p>
    <w:p w14:paraId="03FE9915"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 xml:space="preserve">Secara normatif, negara telah merespons persoalan tersebut melalui Undang-Undang Nomor 23 Tahun 2004 tentang Penghapusan Kekerasan dalam Rumah Tangga. Undang-undang </w:t>
      </w:r>
      <w:r>
        <w:rPr>
          <w:rStyle w:val="longtext"/>
          <w:rFonts w:ascii="Segoe UI" w:hAnsi="Segoe UI" w:cs="Segoe UI"/>
          <w:sz w:val="22"/>
          <w:szCs w:val="22"/>
          <w:shd w:val="clear" w:color="auto" w:fill="FFFFFF"/>
          <w:lang w:val="id-ID"/>
        </w:rPr>
        <w:lastRenderedPageBreak/>
        <w:t>ini menegaskan larangan melakukan kekerasan fisik, psikis, seksual, dan penelantaran rumah tangga, serta menyediakan perangkat perlindungan berupa perintah perlindungan, kewajiban pelaporan, dan layanan pemulihan bagi korban. Kehadiran undang-undang tersebut menandai pergeseran penting, yaitu penarikan persoalan kekerasan domestik dari wilayah privat ke wilayah publik yang menjadi tanggung jawab negara (Nasrudiansyah &amp; Alijaya, 2023).</w:t>
      </w:r>
    </w:p>
    <w:p w14:paraId="59436C01"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Perkembangan legislasi setelahnya memperkuat kerangka tersebut. Undang-Undang Nomor 31 Tahun 2014 tentang Perubahan atas Undang-Undang Nomor 13 Tahun 2006 tentang Perlindungan Saksi dan Korban memperluas hak korban atas bantuan medis, rehabilitasi psikososial, dan restitusi. Peraturan Mahkamah Agung Nomor 3 Tahun 2017 tentang Pedoman Mengadili Perkara Perempuan Berhadapan dengan Hukum mewajibkan hakim mengidentifikasi ketidaksetaraan relasi kuasa dan melarang penggunaan pertanyaan yang merendahkan korban. Undang-Undang Nomor 12 Tahun 2022 tentang Tindak Pidana Kekerasan Seksual kemudian menambahkan instrumen hukum acara yang lebih berpihak pada korban, termasuk larangan mempertemukan korban dan terdakwa dalam mekanisme penyelesaian di luar proses peradilan untuk perkara tertentu.</w:t>
      </w:r>
    </w:p>
    <w:p w14:paraId="0A93571B"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Meskipun demikian, kelengkapan norma tidak berbanding lurus dengan efektivitas perlindungan. Penelitian empiris memperlihatkan bahwa aparat penegak hukum kerap masih memandang KDRT sebagai masalah privat yang cukup diselesaikan secara kekeluargaan, sehingga pendekatan mediasi justru berpotensi memperkuat posisi pelaku dan membahayakan korban (Sitompul, 2025; Setiawan &amp; Sastro, 2024). Prosedur pelaporan yang panjang, tekanan psikologis, dan intimidasi selama proses hukum menyebabkan banyak perkara tidak berlanjut hingga putusan pengadilan.</w:t>
      </w:r>
    </w:p>
    <w:p w14:paraId="51815A22"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Persoalan tersebut berakar pada kondisi korban itu sendiri. Ketergantungan ekonomi terhadap pelaku, budaya patriarki yang menempatkan perempuan pada posisi subordinat, dan rendahnya literasi hukum membuat korban sulit keluar dari siklus kekerasan (Sitompul, 2025; Farid, 2019). Kekerasan pun berlangsung dalam pola berulang yang dikenal sebagai siklus kekerasan, yaitu fase ketegangan, fase kekerasan, dan fase rekonsiliasi semu yang membuat korban berharap pelaku berubah (Walker, 1979). Dalam kerangka roda kekuasaan dan kontrol, dominasi ekonomi merupakan salah satu alat pelaku untuk mengendalikan korban (Pence &amp; Paymar, 1993).</w:t>
      </w:r>
    </w:p>
    <w:p w14:paraId="6A6BB473"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Kesenjangan tersebut menempatkan persoalan KDRT pada wilayah kajian efektivitas hukum, yakni pertanyaan mengenai sejauh mana norma yang berlaku benar-benar bekerja pada perilaku yang hendak diaturnya. Efektivitas dalam konteks ini tidak dapat diukur semata dari jumlah pelaku yang dipidana, karena sebagian besar perkara justru berhenti sebelum memasuki ruang sidang. Ukuran yang lebih tepat adalah sejauh mana kekerasan dihentikan, korban memperoleh perlindungan sementara, dan pemulihan benar-benar terjadi. Pergeseran ukuran inilah yang menjadi titik tolak analisis dalam penelitian ini.</w:t>
      </w:r>
    </w:p>
    <w:p w14:paraId="40F68169"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Kajian terdahulu mengenai KDRT umumnya berhenti pada dua pola. Sebagian memetakan bentuk, faktor penyebab, dan dampak kekerasan melalui studi kepustakaan (Setiawan et al., 2024), sedangkan sebagian lain mengevaluasi pelaksanaan perlindungan hukum melalui pendekatan yuridis-sosiologis pada wilayah tertentu (Sitompul, 2025; Sari &amp; Husna, 2025). Kajian lain menyoroti reviktimisasi korban kejahatan yang mengalami kekerasan berulang (Rani et al., 2024) dan penelantaran rumah tangga sebagai bentuk kekerasan yang sering diabaikan (Rosita et al., 2025).</w:t>
      </w:r>
    </w:p>
    <w:p w14:paraId="4BCF669F"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 xml:space="preserve">Berbeda dengan kajian tersebut, penelitian ini menitikberatkan pada penelusuran titik putus antara norma dan realitas, yakni pada bagian mana rangkaian penegakan hukum kehilangan daya </w:t>
      </w:r>
      <w:r>
        <w:rPr>
          <w:rStyle w:val="longtext"/>
          <w:rFonts w:ascii="Segoe UI" w:hAnsi="Segoe UI" w:cs="Segoe UI"/>
          <w:sz w:val="22"/>
          <w:szCs w:val="22"/>
          <w:shd w:val="clear" w:color="auto" w:fill="FFFFFF"/>
          <w:lang w:val="id-ID"/>
        </w:rPr>
        <w:lastRenderedPageBreak/>
        <w:t>lindungnya. Analisis diarahkan pada konstruksi delik aduan bagi kekerasan fisik ringan, psikis ringan, dan kekerasan seksual dalam lingkup suami-istri, serta pada praktik penyelesaian di luar proses peradilan yang berkembang seiring menguatnya pendekatan keadilan restoratif. Penelitian ini juga menempatkan persoalan KDRT dalam konteks pembaruan hukum pidana nasional melalui Undang-Undang Nomor 1 Tahun 2023 tentang Kitab Undang-Undang Hukum Pidana yang berlaku pada Januari 2026 dan Undang-Undang Nomor 20 Tahun 2025 tentang Hukum Acara Pidana, yang belum banyak dikaitkan dengan penegakan hukum KDRT.</w:t>
      </w:r>
    </w:p>
    <w:p w14:paraId="6EA0B48E"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Berdasarkan uraian tersebut, penelitian ini bertujuan menganalisis konstruksi normatif tindak pidana KDRT, mengidentifikasi hambatan efektivitas penegakan hukumnya, dan merumuskan model penegakan hukum yang responsif terhadap kebutuhan perlindungan korban. Secara teoretis, penelitian ini memperkaya kajian hukum pidana dengan menautkan analisis norma dan temuan viktimologis mengenai posisi korban. Secara praktis, penelitian ini menawarkan rujukan bagi penyidik, penuntut umum, hakim, dan lembaga layanan dalam menangani perkara KDRT agar penegakan hukum tidak berhenti pada penjatuhan pidana, tetapi juga menjamin pemulihan korban.</w:t>
      </w:r>
    </w:p>
    <w:p w14:paraId="263BA0C7" w14:textId="77777777" w:rsidR="00EE0E4F" w:rsidRDefault="00000000">
      <w:pPr>
        <w:pStyle w:val="Heading3"/>
        <w:ind w:left="1134" w:right="322" w:hanging="425"/>
      </w:pPr>
      <w:r>
        <w:t>METODOLOGI PENELITIAN</w:t>
      </w:r>
    </w:p>
    <w:p w14:paraId="5893A910" w14:textId="77777777" w:rsidR="00EE0E4F" w:rsidRDefault="00000000">
      <w:pPr>
        <w:pStyle w:val="Heading2"/>
        <w:rPr>
          <w:shd w:val="clear" w:color="auto" w:fill="FFFFFF"/>
        </w:rPr>
      </w:pPr>
      <w:r>
        <w:rPr>
          <w:shd w:val="clear" w:color="auto" w:fill="FFFFFF"/>
        </w:rPr>
        <w:t>2.1 Jenis dan Sifat Penelitian</w:t>
      </w:r>
    </w:p>
    <w:p w14:paraId="33C9C28D"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Penelitian ini merupakan penelitian hukum normatif yang bersifat deskriptif-analitis dan ditopang analisis sekunder atas temuan penelitian empiris terdahulu. Objek kajiannya adalah norma hukum, asas hukum, dan doktrin yang berkaitan dengan penghapusan kekerasan dalam rumah tangga, yang kemudian diperhadapkan dengan gambaran empiris pelaksanaan perlindungan korban sebagaimana dilaporkan dalam penelitian yang telah dipublikasikan. Pilihan desain ini didasarkan pada pertimbangan bahwa persoalan yang dikaji bukan ketiadaan norma, melainkan kesenjangan antara norma dan bekerjanya norma, sehingga diperlukan pembacaan silang antara teks hukum dan temuan lapangan.</w:t>
      </w:r>
    </w:p>
    <w:p w14:paraId="5E3958BD"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Rumusan masalah yang dijawab meliputi tiga hal, yaitu bagaimana konstruksi normatif tindak pidana kekerasan dalam rumah tangga dalam hukum positif Indonesia, mengapa penegakan hukumnya belum efektif melindungi korban, dan bagaimana model penegakan hukum yang lebih responsif terhadap kebutuhan korban dapat dirumuskan. Ketiga rumusan tersebut menentukan struktur analisis pada bagian hasil dan pembahasan.</w:t>
      </w:r>
    </w:p>
    <w:p w14:paraId="590E295E" w14:textId="77777777" w:rsidR="00EE0E4F" w:rsidRDefault="00000000">
      <w:pPr>
        <w:pStyle w:val="Heading2"/>
        <w:rPr>
          <w:shd w:val="clear" w:color="auto" w:fill="FFFFFF"/>
        </w:rPr>
      </w:pPr>
      <w:r>
        <w:rPr>
          <w:shd w:val="clear" w:color="auto" w:fill="FFFFFF"/>
        </w:rPr>
        <w:t>2.2 Pendekatan Penelitian</w:t>
      </w:r>
    </w:p>
    <w:p w14:paraId="0F55EBC5"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Penelitian menggunakan tiga pendekatan yang saling melengkapi. Pendekatan perundang-undangan digunakan untuk menelaah Undang-Undang Nomor 23 Tahun 2004 tentang Penghapusan Kekerasan dalam Rumah Tangga, Undang-Undang Nomor 31 Tahun 2014 tentang Perubahan atas Undang-Undang Nomor 13 Tahun 2006 tentang Perlindungan Saksi dan Korban, Undang-Undang Nomor 12 Tahun 2022 tentang Tindak Pidana Kekerasan Seksual, Peraturan Mahkamah Agung Nomor 3 Tahun 2017, serta Undang-Undang Nomor 1 Tahun 2023 tentang Kitab Undang-Undang Hukum Pidana dan Undang-Undang Nomor 20 Tahun 2025 tentang Hukum Acara Pidana. Pendekatan konseptual digunakan untuk menguji konsep perlindungan hukum, delik aduan, keadilan restoratif, dan pemulihan korban. Pendekatan kasus digunakan secara terbatas untuk membaca pola penanganan perkara sebagaimana terekam dalam penelitian terdahulu.</w:t>
      </w:r>
    </w:p>
    <w:p w14:paraId="6E429844" w14:textId="77777777" w:rsidR="00EE0E4F" w:rsidRDefault="00000000">
      <w:pPr>
        <w:pStyle w:val="Heading2"/>
        <w:rPr>
          <w:shd w:val="clear" w:color="auto" w:fill="FFFFFF"/>
        </w:rPr>
      </w:pPr>
      <w:r>
        <w:rPr>
          <w:shd w:val="clear" w:color="auto" w:fill="FFFFFF"/>
        </w:rPr>
        <w:lastRenderedPageBreak/>
        <w:t>2.3 Bahan Hukum dan Sumber Data</w:t>
      </w:r>
    </w:p>
    <w:p w14:paraId="0BD84F49"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Pendekatan kasus dalam penelitian ini tidak dimaksudkan untuk menganalisis satu putusan secara mendalam, melainkan untuk membaca pola penanganan perkara: pada tahap mana perkara berhenti, alasan apa yang mendasarinya, dan bagaimana posisi korban diperlakukan dalam setiap tahapan. Pola tersebut kemudian dibandingkan dengan janji normatif yang dirumuskan undang-undang, sehingga kesenjangan antara keduanya dapat diidentifikasi secara sistematis dan tidak berhenti pada kesimpulan umum bahwa penegakan hukum belum optimal.</w:t>
      </w:r>
    </w:p>
    <w:p w14:paraId="04664A43"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Bahan hukum primer meliputi peraturan perundang-undangan dan putusan pengadilan yang berkaitan dengan tindak pidana kekerasan dalam rumah tangga. Bahan hukum sekunder mencakup artikel jurnal ilmiah, buku akademik, dan laporan lembaga yang berwenang, khususnya publikasi Komisi Nasional Anti Kekerasan terhadap Perempuan serta lembaga layanan perlindungan perempuan dan anak. Bahan hukum tersier berupa kamus dan ensiklopedia hukum digunakan untuk menjaga ketepatan peristilahan. Data empiris tidak dikumpulkan sendiri oleh penulis, melainkan diperoleh melalui penelusuran hasil penelitian yang telah dipublikasikan, sehingga setiap angka dan temuan lapangan disajikan dengan menyebut sumber aslinya.</w:t>
      </w:r>
    </w:p>
    <w:p w14:paraId="633B9C4B" w14:textId="77777777" w:rsidR="00EE0E4F" w:rsidRDefault="00000000">
      <w:pPr>
        <w:pStyle w:val="Heading2"/>
        <w:rPr>
          <w:shd w:val="clear" w:color="auto" w:fill="FFFFFF"/>
        </w:rPr>
      </w:pPr>
      <w:r>
        <w:rPr>
          <w:shd w:val="clear" w:color="auto" w:fill="FFFFFF"/>
        </w:rPr>
        <w:t>2.4 Teknik Pengumpulan dan Pengolahan</w:t>
      </w:r>
    </w:p>
    <w:p w14:paraId="00E7CCAE"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Pengumpulan bahan hukum dilakukan melalui studi kepustakaan dan penelusuran dokumen resmi pada basis data hukum nasional serta pangkalan data jurnal ilmiah. Pengolahan dilakukan melalui empat tahap, yaitu reduksi bahan yang berkaitan langsung dengan rumusan masalah, klasifikasi ke dalam kategori konstruksi norma, hambatan penegakan, dan model perlindungan, penyajian secara naratif dan tabuler, serta penarikan simpulan yang diuji ulang terhadap bahan hukum primer. Rumusan pasal yang dikutip diverifikasi terhadap teks resmi peraturan untuk menghindari kekeliruan penyebutan pasal, ayat, dan besaran ancaman pidana.</w:t>
      </w:r>
    </w:p>
    <w:p w14:paraId="57A3E41C" w14:textId="77777777" w:rsidR="00EE0E4F" w:rsidRDefault="00000000">
      <w:pPr>
        <w:pStyle w:val="Heading2"/>
        <w:rPr>
          <w:shd w:val="clear" w:color="auto" w:fill="FFFFFF"/>
        </w:rPr>
      </w:pPr>
      <w:r>
        <w:rPr>
          <w:shd w:val="clear" w:color="auto" w:fill="FFFFFF"/>
        </w:rPr>
        <w:t>2.5 Teknik Analisis</w:t>
      </w:r>
    </w:p>
    <w:p w14:paraId="4572E927"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Analisis dilakukan secara kualitatif melalui interpretasi hukum, argumentasi hukum, dan penalaran preskriptif. Tahap pertama adalah rekonstruksi konstruksi normatif tindak pidana KDRT, meliputi rumusan larangan, kualifikasi delik, ancaman pidana, dan perangkat perlindungan. Tahap kedua adalah pemetaan hambatan efektivitas dengan membaca temuan empiris terdahulu melalui kerangka faktor-faktor yang memengaruhi penegakan hukum, yakni substansi hukum, aparat, sarana, masyarakat, dan budaya hukum. Tahap ketiga adalah sintesis preskriptif yang merumuskan model penegakan hukum responsif korban. Seluruh tahapan diuji konsistensinya terhadap tiga nilai dasar hukum, yaitu kepastian hukum, keadilan, dan kemanfaatan.</w:t>
      </w:r>
    </w:p>
    <w:p w14:paraId="64676072" w14:textId="77777777" w:rsidR="00EE0E4F" w:rsidRDefault="00000000">
      <w:pPr>
        <w:pStyle w:val="Heading2"/>
        <w:rPr>
          <w:shd w:val="clear" w:color="auto" w:fill="FFFFFF"/>
        </w:rPr>
      </w:pPr>
      <w:r>
        <w:rPr>
          <w:shd w:val="clear" w:color="auto" w:fill="FFFFFF"/>
        </w:rPr>
        <w:t>2.6 Kerangka Teoretis</w:t>
      </w:r>
    </w:p>
    <w:p w14:paraId="6CEBE91A"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Analisis bertumpu pada tiga kerangka teoretis. Pertama, teori perlindungan hukum digunakan untuk membedakan perlindungan preventif yang bekerja sebelum kekerasan terjadi dan perlindungan represif yang bekerja setelahnya, sehingga efektivitas tidak diukur semata dari jumlah pemidanaan. Kedua, kerangka viktimologis mengenai siklus kekerasan digunakan untuk menjelaskan mengapa korban bertahan dan mencabut laporan, dengan memperhatikan fase ketegangan, kekerasan, dan rekonsiliasi semu (Walker, 1979). Ketiga, kerangka roda kekuasaan dan kontrol digunakan untuk membaca dominasi ekonomi dan isolasi sosial sebagai instrumen kontrol pelaku (Pence &amp; Paymar, 1993), yang dilengkapi perspektif feminis mengenai ketimpangan relasi kuasa yang dilegitimasi budaya patriarki (Tong, 2009; Farid, 2019).</w:t>
      </w:r>
    </w:p>
    <w:p w14:paraId="315A75AB" w14:textId="77777777" w:rsidR="00EE0E4F" w:rsidRDefault="00000000">
      <w:pPr>
        <w:pStyle w:val="Heading2"/>
        <w:rPr>
          <w:shd w:val="clear" w:color="auto" w:fill="FFFFFF"/>
        </w:rPr>
      </w:pPr>
      <w:r>
        <w:rPr>
          <w:shd w:val="clear" w:color="auto" w:fill="FFFFFF"/>
        </w:rPr>
        <w:lastRenderedPageBreak/>
        <w:t>2.7 Keterbatasan Penelitian</w:t>
      </w:r>
    </w:p>
    <w:p w14:paraId="7660F842"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Penelitian ini tidak melakukan pengumpulan data primer sendiri sehingga gambaran empiris yang disajikan bergantung pada cakupan, metode, dan periode penelitian terdahulu yang dirujuk. Angka yang ditampilkan dalam artikel ini karena itu tidak diperlakukan sebagai representasi nasional, melainkan sebagai ilustrasi pola yang membantu menjelaskan bekerjanya norma. Analisis juga dibatasi pada dimensi hukum pidana dan perlindungan korban, sehingga aspek hukum keluarga seperti perceraian, nafkah, dan hak asuh anak hanya disinggung sejauh berkaitan langsung dengan efektivitas perlindungan.</w:t>
      </w:r>
    </w:p>
    <w:p w14:paraId="012105B3" w14:textId="77777777" w:rsidR="00EE0E4F" w:rsidRDefault="00000000">
      <w:pPr>
        <w:pStyle w:val="Heading2"/>
        <w:rPr>
          <w:shd w:val="clear" w:color="auto" w:fill="FFFFFF"/>
        </w:rPr>
      </w:pPr>
      <w:r>
        <w:rPr>
          <w:shd w:val="clear" w:color="auto" w:fill="FFFFFF"/>
        </w:rPr>
        <w:t>2.8 Validitas dan Etika Penyajian Data</w:t>
      </w:r>
    </w:p>
    <w:p w14:paraId="6AE4521B"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Validitas penelitian normatif ditentukan oleh ketepatan bahan hukum dan konsistensi penalaran. Setiap proposisi hukum karena itu diuji melalui tiga saringan, yaitu kesesuaian dengan teks norma, konsistensi dengan asas hukum pidana dan asas perlindungan korban, serta kelayakan penerapannya dalam praktik peradilan Indonesia. Temuan empiris yang dikutip dari penelitian terdahulu diperlakukan sebagai data sekunder yang menjelaskan bekerjanya norma, bukan sebagai temuan penulis, sehingga selalu disertai penyebutan sumber, cakupan wilayah, dan jumlah responden apabila tersedia.</w:t>
      </w:r>
    </w:p>
    <w:p w14:paraId="542ECAD9"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Karena objek kajian menyangkut pengalaman korban kekerasan, penyajian data dilakukan dengan memperhatikan prinsip tidak menimbulkan bahaya lanjutan. Artikel ini tidak memuat identitas, inisial, lokasi rinci, maupun uraian peristiwa yang dapat mengarah pada pengenalan korban, serta menghindari penggambaran kekerasan secara detail yang tidak diperlukan bagi analisis hukum. Pilihan tersebut tidak mengurangi ketajaman analisis karena fokus kajian terletak pada bekerjanya norma, bukan pada rekonstruksi peristiwa.</w:t>
      </w:r>
    </w:p>
    <w:p w14:paraId="2228C193" w14:textId="77777777" w:rsidR="00EE0E4F" w:rsidRDefault="00000000">
      <w:pPr>
        <w:pStyle w:val="Heading2"/>
        <w:rPr>
          <w:shd w:val="clear" w:color="auto" w:fill="FFFFFF"/>
        </w:rPr>
      </w:pPr>
      <w:r>
        <w:rPr>
          <w:shd w:val="clear" w:color="auto" w:fill="FFFFFF"/>
        </w:rPr>
        <w:t>2.9 Alur Analisis</w:t>
      </w:r>
    </w:p>
    <w:p w14:paraId="1096D69C"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Keseluruhan tahapan dirangkai dalam satu alur yang bergerak dari norma menuju praktik dan kembali kepada norma. Alur diawali dengan pembacaan teks undang-undang untuk memperoleh gambaran janji normatif yang dijanjikan negara kepada korban pada setiap tahapan, mulai dari pelaporan hingga pemulihan. Gambaran tersebut kemudian diperhadapkan dengan temuan empiris terdahulu untuk mengetahui pada tahap mana janji itu tidak terpenuhi. Selisih antara keduanya diperlakukan sebagai titik putus yang menjadi objek analisis, dan setiap titik putus ditelusuri akar persoalannya pada tataran substansi hukum, aparat, sarana, masyarakat, atau budaya hukum. Alur ditutup dengan perumusan model perbaikan yang diarahkan tepat pada titik putus yang teridentifikasi, sehingga rekomendasi yang dihasilkan bersifat spesifik dan dapat diuji, bukan berupa anjuran umum.</w:t>
      </w:r>
    </w:p>
    <w:p w14:paraId="05B3C69D" w14:textId="77777777" w:rsidR="00EE0E4F" w:rsidRDefault="00000000">
      <w:pPr>
        <w:pStyle w:val="Heading3"/>
        <w:ind w:left="1134" w:right="322" w:hanging="425"/>
      </w:pPr>
      <w:r>
        <w:t>HASIL DAN PEMBAHASAN</w:t>
      </w:r>
    </w:p>
    <w:p w14:paraId="5CD72164" w14:textId="77777777" w:rsidR="00EE0E4F" w:rsidRDefault="00000000">
      <w:pPr>
        <w:pStyle w:val="Heading2"/>
        <w:rPr>
          <w:shd w:val="clear" w:color="auto" w:fill="FFFFFF"/>
        </w:rPr>
      </w:pPr>
      <w:r>
        <w:rPr>
          <w:shd w:val="clear" w:color="auto" w:fill="FFFFFF"/>
        </w:rPr>
        <w:t>3.1 Konstruksi Normatif Tindak Pidana Kekerasan dalam Rumah Tangga</w:t>
      </w:r>
    </w:p>
    <w:p w14:paraId="4428E78C"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Temuan pertama menunjukkan bahwa secara normatif Indonesia telah memiliki kerangka hukum yang cukup lengkap. Undang-Undang Nomor 23 Tahun 2004 mendefinisikan kekerasan dalam rumah tangga sebagai setiap perbuatan terhadap seseorang, terutama perempuan, yang berakibat timbulnya kesengsaraan atau penderitaan secara fisik, seksual, psikologis, dan/atau penelantaran rumah tangga, termasuk ancaman, pemaksaan, atau perampasan kemerdekaan secara melawan hukum dalam lingkup rumah tangga. Pasal 5 undang-undang tersebut menegaskan larangan atas empat bentuk kekerasan, yaitu kekerasan fisik, psikis, seksual, dan penelantaran rumah tangga.</w:t>
      </w:r>
    </w:p>
    <w:p w14:paraId="7047C71D"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lastRenderedPageBreak/>
        <w:t>Cakupan subjek undang-undang ini luas, meliputi suami, istri, dan anak, orang yang mempunyai hubungan keluarga karena hubungan darah, perkawinan, persusuan, pengasuhan, dan perwalian yang menetap dalam rumah tangga, serta orang yang bekerja dan menetap dalam rumah tangga. Perluasan subjek tersebut penting karena menempatkan pekerja rumah tangga dan anggota keluarga besar sebagai pihak yang dilindungi, sehingga perlindungan tidak terbatas pada relasi suami-istri sebagaimana sering diasumsikan dalam praktik.</w:t>
      </w:r>
    </w:p>
    <w:p w14:paraId="0CAE9AE6" w14:textId="77777777" w:rsidR="00EE0E4F" w:rsidRDefault="00000000">
      <w:pPr>
        <w:tabs>
          <w:tab w:val="left" w:pos="450"/>
        </w:tabs>
        <w:spacing w:before="100" w:beforeAutospacing="1" w:after="100" w:afterAutospacing="1"/>
        <w:contextualSpacing/>
        <w:jc w:val="center"/>
        <w:rPr>
          <w:rFonts w:eastAsia="Constantia" w:cs="Segoe UI"/>
          <w:sz w:val="20"/>
          <w:szCs w:val="20"/>
        </w:rPr>
      </w:pPr>
      <w:r>
        <w:rPr>
          <w:rFonts w:eastAsia="Constantia" w:cs="Segoe UI"/>
          <w:b/>
          <w:bCs/>
          <w:sz w:val="20"/>
          <w:szCs w:val="20"/>
        </w:rPr>
        <w:t>Tabel 1.</w:t>
      </w:r>
      <w:r>
        <w:rPr>
          <w:rFonts w:eastAsia="Constantia" w:cs="Segoe UI"/>
          <w:sz w:val="20"/>
          <w:szCs w:val="20"/>
        </w:rPr>
        <w:t xml:space="preserve"> Konstruksi Bentuk Kekerasan, Ancaman Pidana, dan Kualifikasi Delik dalam Undang-Undang Nomor 23 Tahun 2004</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15"/>
        <w:gridCol w:w="2100"/>
        <w:gridCol w:w="1900"/>
        <w:gridCol w:w="1915"/>
      </w:tblGrid>
      <w:tr w:rsidR="006F0069" w:rsidRPr="006F0069" w14:paraId="4A3C5763" w14:textId="77777777" w:rsidTr="006F0069">
        <w:trPr>
          <w:tblHeader/>
          <w:tblCellSpacing w:w="15" w:type="dxa"/>
          <w:jc w:val="center"/>
        </w:trPr>
        <w:tc>
          <w:tcPr>
            <w:tcW w:w="1470" w:type="dxa"/>
            <w:tcBorders>
              <w:top w:val="single" w:sz="4" w:space="0" w:color="auto"/>
              <w:bottom w:val="single" w:sz="4" w:space="0" w:color="auto"/>
            </w:tcBorders>
            <w:vAlign w:val="center"/>
          </w:tcPr>
          <w:p w14:paraId="21792AAB" w14:textId="77777777" w:rsidR="00EE0E4F"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Bentuk Kekerasan</w:t>
            </w:r>
          </w:p>
        </w:tc>
        <w:tc>
          <w:tcPr>
            <w:tcW w:w="2070" w:type="dxa"/>
            <w:tcBorders>
              <w:top w:val="single" w:sz="4" w:space="0" w:color="auto"/>
              <w:bottom w:val="single" w:sz="4" w:space="0" w:color="auto"/>
            </w:tcBorders>
            <w:vAlign w:val="center"/>
          </w:tcPr>
          <w:p w14:paraId="4066B60B" w14:textId="77777777" w:rsidR="00EE0E4F"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Dasar Hukum</w:t>
            </w:r>
          </w:p>
        </w:tc>
        <w:tc>
          <w:tcPr>
            <w:tcW w:w="1870" w:type="dxa"/>
            <w:tcBorders>
              <w:top w:val="single" w:sz="4" w:space="0" w:color="auto"/>
              <w:bottom w:val="single" w:sz="4" w:space="0" w:color="auto"/>
            </w:tcBorders>
            <w:vAlign w:val="center"/>
          </w:tcPr>
          <w:p w14:paraId="3F628842" w14:textId="77777777" w:rsidR="00EE0E4F"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Pokok Ancaman Pidana</w:t>
            </w:r>
          </w:p>
        </w:tc>
        <w:tc>
          <w:tcPr>
            <w:tcW w:w="1870" w:type="dxa"/>
            <w:tcBorders>
              <w:top w:val="single" w:sz="4" w:space="0" w:color="auto"/>
              <w:bottom w:val="single" w:sz="4" w:space="0" w:color="auto"/>
            </w:tcBorders>
            <w:vAlign w:val="center"/>
          </w:tcPr>
          <w:p w14:paraId="421211A9" w14:textId="77777777" w:rsidR="00EE0E4F"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Kualifikasi Delik</w:t>
            </w:r>
          </w:p>
        </w:tc>
      </w:tr>
      <w:tr w:rsidR="006F0069" w:rsidRPr="006F0069" w14:paraId="3B19A01B" w14:textId="77777777" w:rsidTr="006F0069">
        <w:trPr>
          <w:tblCellSpacing w:w="15" w:type="dxa"/>
          <w:jc w:val="center"/>
        </w:trPr>
        <w:tc>
          <w:tcPr>
            <w:tcW w:w="1470" w:type="dxa"/>
            <w:vAlign w:val="center"/>
          </w:tcPr>
          <w:p w14:paraId="07F14663"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Kekerasan fisik</w:t>
            </w:r>
          </w:p>
        </w:tc>
        <w:tc>
          <w:tcPr>
            <w:tcW w:w="2070" w:type="dxa"/>
            <w:vAlign w:val="center"/>
          </w:tcPr>
          <w:p w14:paraId="4E25FA23"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Pasal 5 huruf a jo. Pasal 44</w:t>
            </w:r>
          </w:p>
        </w:tc>
        <w:tc>
          <w:tcPr>
            <w:tcW w:w="1870" w:type="dxa"/>
            <w:vAlign w:val="center"/>
          </w:tcPr>
          <w:p w14:paraId="21F9F712"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Pidana penjara atau denda, diperberat apabila mengakibatkan jatuh sakit, luka berat, atau matinya korban</w:t>
            </w:r>
          </w:p>
        </w:tc>
        <w:tc>
          <w:tcPr>
            <w:tcW w:w="1870" w:type="dxa"/>
            <w:vAlign w:val="center"/>
          </w:tcPr>
          <w:p w14:paraId="0D8825AA"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Delik biasa, kecuali kekerasan fisik ringan oleh suami terhadap istri atau sebaliknya</w:t>
            </w:r>
          </w:p>
        </w:tc>
      </w:tr>
      <w:tr w:rsidR="006F0069" w:rsidRPr="006F0069" w14:paraId="3F0C0B37" w14:textId="77777777" w:rsidTr="006F0069">
        <w:trPr>
          <w:tblCellSpacing w:w="15" w:type="dxa"/>
          <w:jc w:val="center"/>
        </w:trPr>
        <w:tc>
          <w:tcPr>
            <w:tcW w:w="1470" w:type="dxa"/>
            <w:vAlign w:val="center"/>
          </w:tcPr>
          <w:p w14:paraId="6120123C"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Kekerasan fisik ringan</w:t>
            </w:r>
          </w:p>
        </w:tc>
        <w:tc>
          <w:tcPr>
            <w:tcW w:w="2070" w:type="dxa"/>
            <w:vAlign w:val="center"/>
          </w:tcPr>
          <w:p w14:paraId="26686D40"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Pasal 44 ayat (4) jo. Pasal 51</w:t>
            </w:r>
          </w:p>
        </w:tc>
        <w:tc>
          <w:tcPr>
            <w:tcW w:w="1870" w:type="dxa"/>
            <w:vAlign w:val="center"/>
          </w:tcPr>
          <w:p w14:paraId="0F3407D8"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Ancaman pidana paling ringan dalam rumpun kekerasan fisik</w:t>
            </w:r>
          </w:p>
        </w:tc>
        <w:tc>
          <w:tcPr>
            <w:tcW w:w="1870" w:type="dxa"/>
            <w:vAlign w:val="center"/>
          </w:tcPr>
          <w:p w14:paraId="5A1DA9E8"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Delik aduan</w:t>
            </w:r>
          </w:p>
        </w:tc>
      </w:tr>
      <w:tr w:rsidR="006F0069" w:rsidRPr="006F0069" w14:paraId="16FBD69A" w14:textId="77777777" w:rsidTr="006F0069">
        <w:trPr>
          <w:tblCellSpacing w:w="15" w:type="dxa"/>
          <w:jc w:val="center"/>
        </w:trPr>
        <w:tc>
          <w:tcPr>
            <w:tcW w:w="1470" w:type="dxa"/>
            <w:vAlign w:val="center"/>
          </w:tcPr>
          <w:p w14:paraId="4C16FFF7"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Kekerasan psikis</w:t>
            </w:r>
          </w:p>
        </w:tc>
        <w:tc>
          <w:tcPr>
            <w:tcW w:w="2070" w:type="dxa"/>
            <w:vAlign w:val="center"/>
          </w:tcPr>
          <w:p w14:paraId="29668F68"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Pasal 5 huruf b jo. Pasal 45</w:t>
            </w:r>
          </w:p>
        </w:tc>
        <w:tc>
          <w:tcPr>
            <w:tcW w:w="1870" w:type="dxa"/>
            <w:vAlign w:val="center"/>
          </w:tcPr>
          <w:p w14:paraId="5E98591A"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Pidana penjara atau denda, lebih ringan daripada kekerasan fisik</w:t>
            </w:r>
          </w:p>
        </w:tc>
        <w:tc>
          <w:tcPr>
            <w:tcW w:w="1870" w:type="dxa"/>
            <w:vAlign w:val="center"/>
          </w:tcPr>
          <w:p w14:paraId="159F2FDC"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Delik biasa, kecuali kekerasan psikis ringan dalam relasi suami-istri</w:t>
            </w:r>
          </w:p>
        </w:tc>
      </w:tr>
      <w:tr w:rsidR="006F0069" w:rsidRPr="006F0069" w14:paraId="2C9B6C16" w14:textId="77777777" w:rsidTr="006F0069">
        <w:trPr>
          <w:tblCellSpacing w:w="15" w:type="dxa"/>
          <w:jc w:val="center"/>
        </w:trPr>
        <w:tc>
          <w:tcPr>
            <w:tcW w:w="1470" w:type="dxa"/>
            <w:vAlign w:val="center"/>
          </w:tcPr>
          <w:p w14:paraId="566496F4"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Kekerasan seksual</w:t>
            </w:r>
          </w:p>
        </w:tc>
        <w:tc>
          <w:tcPr>
            <w:tcW w:w="2070" w:type="dxa"/>
            <w:vAlign w:val="center"/>
          </w:tcPr>
          <w:p w14:paraId="6BFFF3A4"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Pasal 5 huruf c jo. Pasal 46 dan Pasal 47</w:t>
            </w:r>
          </w:p>
        </w:tc>
        <w:tc>
          <w:tcPr>
            <w:tcW w:w="1870" w:type="dxa"/>
            <w:vAlign w:val="center"/>
          </w:tcPr>
          <w:p w14:paraId="5532D516"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Ancaman pidana terberat, termasuk pemaksaan hubungan seksual untuk tujuan komersial</w:t>
            </w:r>
          </w:p>
        </w:tc>
        <w:tc>
          <w:tcPr>
            <w:tcW w:w="1870" w:type="dxa"/>
            <w:vAlign w:val="center"/>
          </w:tcPr>
          <w:p w14:paraId="1A25863C"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Delik aduan bagi kekerasan seksual dalam lingkup suami-istri (Pasal 53)</w:t>
            </w:r>
          </w:p>
        </w:tc>
      </w:tr>
      <w:tr w:rsidR="006F0069" w:rsidRPr="006F0069" w14:paraId="270D41D0" w14:textId="77777777" w:rsidTr="006F0069">
        <w:trPr>
          <w:tblCellSpacing w:w="15" w:type="dxa"/>
          <w:jc w:val="center"/>
        </w:trPr>
        <w:tc>
          <w:tcPr>
            <w:tcW w:w="1470" w:type="dxa"/>
            <w:tcBorders>
              <w:bottom w:val="single" w:sz="4" w:space="0" w:color="auto"/>
            </w:tcBorders>
            <w:vAlign w:val="center"/>
          </w:tcPr>
          <w:p w14:paraId="618E5BFC"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Penelantaran rumah tangga</w:t>
            </w:r>
          </w:p>
        </w:tc>
        <w:tc>
          <w:tcPr>
            <w:tcW w:w="2070" w:type="dxa"/>
            <w:tcBorders>
              <w:bottom w:val="single" w:sz="4" w:space="0" w:color="auto"/>
            </w:tcBorders>
            <w:vAlign w:val="center"/>
          </w:tcPr>
          <w:p w14:paraId="2D6BC424"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Pasal 5 huruf d jo. Pasal 9 dan Pasal 49</w:t>
            </w:r>
          </w:p>
        </w:tc>
        <w:tc>
          <w:tcPr>
            <w:tcW w:w="1870" w:type="dxa"/>
            <w:tcBorders>
              <w:bottom w:val="single" w:sz="4" w:space="0" w:color="auto"/>
            </w:tcBorders>
            <w:vAlign w:val="center"/>
          </w:tcPr>
          <w:p w14:paraId="1A505AA5"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Pidana penjara atau denda bagi yang menelantarkan orang dalam lingkup rumah tangganya</w:t>
            </w:r>
          </w:p>
        </w:tc>
        <w:tc>
          <w:tcPr>
            <w:tcW w:w="1870" w:type="dxa"/>
            <w:tcBorders>
              <w:bottom w:val="single" w:sz="4" w:space="0" w:color="auto"/>
            </w:tcBorders>
            <w:vAlign w:val="center"/>
          </w:tcPr>
          <w:p w14:paraId="17B21CF3"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Delik biasa</w:t>
            </w:r>
          </w:p>
        </w:tc>
      </w:tr>
    </w:tbl>
    <w:p w14:paraId="42A2907E" w14:textId="77777777" w:rsidR="00EE0E4F" w:rsidRDefault="00000000">
      <w:pPr>
        <w:pStyle w:val="IEEEParagraph"/>
        <w:ind w:firstLine="567"/>
        <w:rPr>
          <w:rFonts w:ascii="Segoe UI" w:hAnsi="Segoe UI" w:cs="Segoe UI"/>
          <w:i/>
          <w:iCs/>
          <w:sz w:val="18"/>
          <w:szCs w:val="18"/>
          <w:lang w:val="id-ID"/>
        </w:rPr>
      </w:pPr>
      <w:r>
        <w:rPr>
          <w:rFonts w:ascii="Segoe UI" w:hAnsi="Segoe UI" w:cs="Segoe UI"/>
          <w:i/>
          <w:iCs/>
          <w:sz w:val="18"/>
          <w:szCs w:val="18"/>
          <w:lang w:val="id-ID"/>
        </w:rPr>
        <w:t xml:space="preserve">              Sumber: Diolah penulis dari Undang-Undang Nomor 23 Tahun 2004 (2026)</w:t>
      </w:r>
    </w:p>
    <w:p w14:paraId="718E19FF" w14:textId="77777777" w:rsidR="00EE0E4F" w:rsidRDefault="00EE0E4F">
      <w:pPr>
        <w:pStyle w:val="IEEEParagraph"/>
      </w:pPr>
    </w:p>
    <w:p w14:paraId="73883EE0"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Tabel 1 memperlihatkan bahwa pembentuk undang-undang membangun gradasi ancaman pidana berdasarkan bentuk dan akibat kekerasan. Namun, gradasi tersebut disertai satu pilihan kebijakan yang berdampak besar pada perlindungan korban, yaitu penempatan kekerasan fisik ringan, kekerasan psikis ringan, dan kekerasan seksual dalam lingkup suami-istri sebagai delik aduan. Menurut analisis penulis, pilihan ini mencerminkan kompromi antara kepentingan melindungi korban dan kepentingan menjaga keutuhan rumah tangga, tetapi konsekuensinya adalah beban untuk memulai dan mempertahankan proses hukum dipindahkan kepada pihak yang paling lemah posisinya.</w:t>
      </w:r>
    </w:p>
    <w:p w14:paraId="4CE0FF4D"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 xml:space="preserve">Selain instrumen pemidanaan, undang-undang menyediakan perangkat perlindungan yang bersifat administratif dan preventif. Korban berhak memperoleh perlindungan dari kepolisian, advokat, lembaga sosial, dan pengadilan, termasuk melalui penetapan perintah perlindungan </w:t>
      </w:r>
      <w:r>
        <w:rPr>
          <w:rStyle w:val="longtext"/>
          <w:rFonts w:ascii="Segoe UI" w:hAnsi="Segoe UI" w:cs="Segoe UI"/>
          <w:sz w:val="22"/>
          <w:szCs w:val="22"/>
          <w:shd w:val="clear" w:color="auto" w:fill="FFFFFF"/>
          <w:lang w:val="id-ID"/>
        </w:rPr>
        <w:lastRenderedPageBreak/>
        <w:t>yang dapat memerintahkan pelaku menjauhi korban dalam jangka waktu tertentu. Undang-undang juga mewajibkan kepolisian memberikan keterangan mengenai hak korban dan mengantarkannya ke rumah aman atau layanan kesehatan. Berdasarkan konstruksi tersebut, undang-undang sesungguhnya tidak semata berorientasi pada penghukuman, melainkan pada penghentian kekerasan dan pemulihan korban.</w:t>
      </w:r>
    </w:p>
    <w:p w14:paraId="6EAF0469"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Kerangka tersebut diperkuat regulasi berikutnya. Undang-Undang Nomor 31 Tahun 2014 memperluas hak korban atas bantuan medis, rehabilitasi psikososial dan psikologis, serta restitusi. Peraturan Mahkamah Agung Nomor 3 Tahun 2017 mengikat hakim untuk mempertimbangkan ketidaksetaraan relasi kuasa dan melarang pertanyaan yang merendahkan korban. Undang-Undang Nomor 12 Tahun 2022 memperkenalkan hukum acara yang lebih berpihak pada korban, termasuk pembatasan penyelesaian di luar proses peradilan bagi tindak pidana kekerasan seksual tertentu. Ketiganya menunjukkan arah kebijakan yang konsisten, yaitu memindahkan titik berat dari penuntutan semata menuju perlindungan dan pemulihan.</w:t>
      </w:r>
    </w:p>
    <w:p w14:paraId="4B492F5F" w14:textId="77777777" w:rsidR="00EE0E4F" w:rsidRDefault="00000000">
      <w:pPr>
        <w:pStyle w:val="Heading2"/>
        <w:rPr>
          <w:shd w:val="clear" w:color="auto" w:fill="FFFFFF"/>
        </w:rPr>
      </w:pPr>
      <w:r>
        <w:rPr>
          <w:shd w:val="clear" w:color="auto" w:fill="FFFFFF"/>
        </w:rPr>
        <w:t>3.2 Titik Putus antara Norma dan Realitas Perlindungan Korban</w:t>
      </w:r>
    </w:p>
    <w:p w14:paraId="51AB39D6"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Temuan kedua menunjukkan bahwa kelengkapan norma tidak berbanding lurus dengan efektivitas perlindungan. Penelusuran atas temuan penelitian terdahulu memperlihatkan bahwa kegagalan tidak terjadi pada satu titik, melainkan pada rangkaian tahapan yang saling menopang. Pemetaan titik putus tersebut disajikan pada Tabel 2.</w:t>
      </w:r>
    </w:p>
    <w:p w14:paraId="30D696EB" w14:textId="77777777" w:rsidR="00EE0E4F" w:rsidRDefault="00000000">
      <w:pPr>
        <w:tabs>
          <w:tab w:val="left" w:pos="450"/>
        </w:tabs>
        <w:spacing w:before="100" w:beforeAutospacing="1" w:after="100" w:afterAutospacing="1"/>
        <w:contextualSpacing/>
        <w:jc w:val="center"/>
        <w:rPr>
          <w:rFonts w:eastAsia="Constantia" w:cs="Segoe UI"/>
          <w:sz w:val="20"/>
          <w:szCs w:val="20"/>
        </w:rPr>
      </w:pPr>
      <w:r>
        <w:rPr>
          <w:rFonts w:eastAsia="Constantia" w:cs="Segoe UI"/>
          <w:b/>
          <w:bCs/>
          <w:sz w:val="20"/>
          <w:szCs w:val="20"/>
        </w:rPr>
        <w:t>Tabel 2.</w:t>
      </w:r>
      <w:r>
        <w:rPr>
          <w:rFonts w:eastAsia="Constantia" w:cs="Segoe UI"/>
          <w:sz w:val="20"/>
          <w:szCs w:val="20"/>
        </w:rPr>
        <w:t xml:space="preserve"> Pemetaan Titik Putus Efektivitas Penegakan Hukum Perkara Kekerasan dalam Rumah Tangga</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15"/>
        <w:gridCol w:w="2100"/>
        <w:gridCol w:w="1900"/>
        <w:gridCol w:w="1915"/>
      </w:tblGrid>
      <w:tr w:rsidR="006F0069" w:rsidRPr="006F0069" w14:paraId="30BA5404" w14:textId="77777777" w:rsidTr="006F0069">
        <w:trPr>
          <w:tblHeader/>
          <w:tblCellSpacing w:w="15" w:type="dxa"/>
          <w:jc w:val="center"/>
        </w:trPr>
        <w:tc>
          <w:tcPr>
            <w:tcW w:w="1470" w:type="dxa"/>
            <w:tcBorders>
              <w:top w:val="single" w:sz="4" w:space="0" w:color="auto"/>
              <w:bottom w:val="single" w:sz="4" w:space="0" w:color="auto"/>
            </w:tcBorders>
            <w:vAlign w:val="center"/>
          </w:tcPr>
          <w:p w14:paraId="3368767C" w14:textId="77777777" w:rsidR="00EE0E4F"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Tahapan</w:t>
            </w:r>
          </w:p>
        </w:tc>
        <w:tc>
          <w:tcPr>
            <w:tcW w:w="2070" w:type="dxa"/>
            <w:tcBorders>
              <w:top w:val="single" w:sz="4" w:space="0" w:color="auto"/>
              <w:bottom w:val="single" w:sz="4" w:space="0" w:color="auto"/>
            </w:tcBorders>
            <w:vAlign w:val="center"/>
          </w:tcPr>
          <w:p w14:paraId="499646F7" w14:textId="77777777" w:rsidR="00EE0E4F"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Janji Normatif</w:t>
            </w:r>
          </w:p>
        </w:tc>
        <w:tc>
          <w:tcPr>
            <w:tcW w:w="1870" w:type="dxa"/>
            <w:tcBorders>
              <w:top w:val="single" w:sz="4" w:space="0" w:color="auto"/>
              <w:bottom w:val="single" w:sz="4" w:space="0" w:color="auto"/>
            </w:tcBorders>
            <w:vAlign w:val="center"/>
          </w:tcPr>
          <w:p w14:paraId="252D5C5B" w14:textId="77777777" w:rsidR="00EE0E4F"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Realitas yang Dilaporkan</w:t>
            </w:r>
          </w:p>
        </w:tc>
        <w:tc>
          <w:tcPr>
            <w:tcW w:w="1870" w:type="dxa"/>
            <w:tcBorders>
              <w:top w:val="single" w:sz="4" w:space="0" w:color="auto"/>
              <w:bottom w:val="single" w:sz="4" w:space="0" w:color="auto"/>
            </w:tcBorders>
            <w:vAlign w:val="center"/>
          </w:tcPr>
          <w:p w14:paraId="583CD4BE" w14:textId="77777777" w:rsidR="00EE0E4F"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Akar Persoalan</w:t>
            </w:r>
          </w:p>
        </w:tc>
      </w:tr>
      <w:tr w:rsidR="006F0069" w:rsidRPr="006F0069" w14:paraId="27FA06EC" w14:textId="77777777" w:rsidTr="006F0069">
        <w:trPr>
          <w:tblCellSpacing w:w="15" w:type="dxa"/>
          <w:jc w:val="center"/>
        </w:trPr>
        <w:tc>
          <w:tcPr>
            <w:tcW w:w="1470" w:type="dxa"/>
            <w:vAlign w:val="center"/>
          </w:tcPr>
          <w:p w14:paraId="7735F2DE"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Pelaporan</w:t>
            </w:r>
          </w:p>
        </w:tc>
        <w:tc>
          <w:tcPr>
            <w:tcW w:w="2070" w:type="dxa"/>
            <w:vAlign w:val="center"/>
          </w:tcPr>
          <w:p w14:paraId="6BB3318C"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Korban berhak melapor dan memperoleh keterangan mengenai haknya</w:t>
            </w:r>
          </w:p>
        </w:tc>
        <w:tc>
          <w:tcPr>
            <w:tcW w:w="1870" w:type="dxa"/>
            <w:vAlign w:val="center"/>
          </w:tcPr>
          <w:p w14:paraId="5480AE49"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Korban enggan melapor karena takut, malu, dan bergantung secara ekonomi</w:t>
            </w:r>
          </w:p>
        </w:tc>
        <w:tc>
          <w:tcPr>
            <w:tcW w:w="1870" w:type="dxa"/>
            <w:vAlign w:val="center"/>
          </w:tcPr>
          <w:p w14:paraId="67AB0C0C"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Ketergantungan ekonomi, budaya patriarki, rendahnya literasi hukum</w:t>
            </w:r>
          </w:p>
        </w:tc>
      </w:tr>
      <w:tr w:rsidR="006F0069" w:rsidRPr="006F0069" w14:paraId="3C41E97A" w14:textId="77777777" w:rsidTr="006F0069">
        <w:trPr>
          <w:tblCellSpacing w:w="15" w:type="dxa"/>
          <w:jc w:val="center"/>
        </w:trPr>
        <w:tc>
          <w:tcPr>
            <w:tcW w:w="1470" w:type="dxa"/>
            <w:vAlign w:val="center"/>
          </w:tcPr>
          <w:p w14:paraId="3DE8480D"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Penyidikan</w:t>
            </w:r>
          </w:p>
        </w:tc>
        <w:tc>
          <w:tcPr>
            <w:tcW w:w="2070" w:type="dxa"/>
            <w:vAlign w:val="center"/>
          </w:tcPr>
          <w:p w14:paraId="1320FD08"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Kekerasan dalam rumah tangga diperlakukan sebagai tindak pidana</w:t>
            </w:r>
          </w:p>
        </w:tc>
        <w:tc>
          <w:tcPr>
            <w:tcW w:w="1870" w:type="dxa"/>
            <w:vAlign w:val="center"/>
          </w:tcPr>
          <w:p w14:paraId="7397DB5E"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Perkara diarahkan pada penyelesaian kekeluargaan dan mediasi</w:t>
            </w:r>
          </w:p>
        </w:tc>
        <w:tc>
          <w:tcPr>
            <w:tcW w:w="1870" w:type="dxa"/>
            <w:vAlign w:val="center"/>
          </w:tcPr>
          <w:p w14:paraId="23C79F95"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Persepsi aparat bahwa kekerasan domestik adalah urusan privat</w:t>
            </w:r>
          </w:p>
        </w:tc>
      </w:tr>
      <w:tr w:rsidR="006F0069" w:rsidRPr="006F0069" w14:paraId="0BFC0808" w14:textId="77777777" w:rsidTr="006F0069">
        <w:trPr>
          <w:tblCellSpacing w:w="15" w:type="dxa"/>
          <w:jc w:val="center"/>
        </w:trPr>
        <w:tc>
          <w:tcPr>
            <w:tcW w:w="1470" w:type="dxa"/>
            <w:vAlign w:val="center"/>
          </w:tcPr>
          <w:p w14:paraId="47A6B8B3"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Pembuktian</w:t>
            </w:r>
          </w:p>
        </w:tc>
        <w:tc>
          <w:tcPr>
            <w:tcW w:w="2070" w:type="dxa"/>
            <w:vAlign w:val="center"/>
          </w:tcPr>
          <w:p w14:paraId="62087A86"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Keterangan korban disertai satu alat bukti sah dipandang cukup</w:t>
            </w:r>
          </w:p>
        </w:tc>
        <w:tc>
          <w:tcPr>
            <w:tcW w:w="1870" w:type="dxa"/>
            <w:vAlign w:val="center"/>
          </w:tcPr>
          <w:p w14:paraId="7A515C2A"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Kesulitan membuktikan kekerasan psikis dan kekerasan seksual dalam perkawinan</w:t>
            </w:r>
          </w:p>
        </w:tc>
        <w:tc>
          <w:tcPr>
            <w:tcW w:w="1870" w:type="dxa"/>
            <w:vAlign w:val="center"/>
          </w:tcPr>
          <w:p w14:paraId="1E49B045"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Sifat tertutup peristiwa dan keterbatasan visum psikiatrik</w:t>
            </w:r>
          </w:p>
        </w:tc>
      </w:tr>
      <w:tr w:rsidR="006F0069" w:rsidRPr="006F0069" w14:paraId="7F0206D8" w14:textId="77777777" w:rsidTr="006F0069">
        <w:trPr>
          <w:tblCellSpacing w:w="15" w:type="dxa"/>
          <w:jc w:val="center"/>
        </w:trPr>
        <w:tc>
          <w:tcPr>
            <w:tcW w:w="1470" w:type="dxa"/>
            <w:vAlign w:val="center"/>
          </w:tcPr>
          <w:p w14:paraId="5ECCE0E3"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Perlindungan sementara</w:t>
            </w:r>
          </w:p>
        </w:tc>
        <w:tc>
          <w:tcPr>
            <w:tcW w:w="2070" w:type="dxa"/>
            <w:vAlign w:val="center"/>
          </w:tcPr>
          <w:p w14:paraId="74DC5754"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Tersedia perintah perlindungan dan rumah aman bagi korban</w:t>
            </w:r>
          </w:p>
        </w:tc>
        <w:tc>
          <w:tcPr>
            <w:tcW w:w="1870" w:type="dxa"/>
            <w:vAlign w:val="center"/>
          </w:tcPr>
          <w:p w14:paraId="440F1CD0"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Pemanfaatan terbatas dan layanan tidak merata antarwilayah</w:t>
            </w:r>
          </w:p>
        </w:tc>
        <w:tc>
          <w:tcPr>
            <w:tcW w:w="1870" w:type="dxa"/>
            <w:vAlign w:val="center"/>
          </w:tcPr>
          <w:p w14:paraId="12D1359A"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Keterbatasan sarana, anggaran, dan pengetahuan mengenai prosedur</w:t>
            </w:r>
          </w:p>
        </w:tc>
      </w:tr>
      <w:tr w:rsidR="006F0069" w:rsidRPr="006F0069" w14:paraId="28BDE429" w14:textId="77777777" w:rsidTr="006F0069">
        <w:trPr>
          <w:tblCellSpacing w:w="15" w:type="dxa"/>
          <w:jc w:val="center"/>
        </w:trPr>
        <w:tc>
          <w:tcPr>
            <w:tcW w:w="1470" w:type="dxa"/>
            <w:tcBorders>
              <w:bottom w:val="single" w:sz="4" w:space="0" w:color="auto"/>
            </w:tcBorders>
            <w:vAlign w:val="center"/>
          </w:tcPr>
          <w:p w14:paraId="0BCD8BA0"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Pemulihan</w:t>
            </w:r>
          </w:p>
        </w:tc>
        <w:tc>
          <w:tcPr>
            <w:tcW w:w="2070" w:type="dxa"/>
            <w:tcBorders>
              <w:bottom w:val="single" w:sz="4" w:space="0" w:color="auto"/>
            </w:tcBorders>
            <w:vAlign w:val="center"/>
          </w:tcPr>
          <w:p w14:paraId="6772360A"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Korban berhak atas pendampingan, rehabilitasi, dan restitusi</w:t>
            </w:r>
          </w:p>
        </w:tc>
        <w:tc>
          <w:tcPr>
            <w:tcW w:w="1870" w:type="dxa"/>
            <w:tcBorders>
              <w:bottom w:val="single" w:sz="4" w:space="0" w:color="auto"/>
            </w:tcBorders>
            <w:vAlign w:val="center"/>
          </w:tcPr>
          <w:p w14:paraId="23901153"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Pendampingan psikologis dan pemulihan ekonomi jarang menyertai putusan</w:t>
            </w:r>
          </w:p>
        </w:tc>
        <w:tc>
          <w:tcPr>
            <w:tcW w:w="1870" w:type="dxa"/>
            <w:tcBorders>
              <w:bottom w:val="single" w:sz="4" w:space="0" w:color="auto"/>
            </w:tcBorders>
            <w:vAlign w:val="center"/>
          </w:tcPr>
          <w:p w14:paraId="68F56202"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Lemahnya koordinasi lintas lembaga dan orientasi pada pemidanaan</w:t>
            </w:r>
          </w:p>
        </w:tc>
      </w:tr>
    </w:tbl>
    <w:p w14:paraId="17E6AEEC" w14:textId="77777777" w:rsidR="00EE0E4F" w:rsidRDefault="00000000">
      <w:pPr>
        <w:pStyle w:val="IEEEParagraph"/>
        <w:ind w:firstLine="567"/>
        <w:rPr>
          <w:rFonts w:ascii="Segoe UI" w:hAnsi="Segoe UI" w:cs="Segoe UI"/>
          <w:i/>
          <w:iCs/>
          <w:sz w:val="18"/>
          <w:szCs w:val="18"/>
          <w:lang w:val="id-ID"/>
        </w:rPr>
      </w:pPr>
      <w:r>
        <w:rPr>
          <w:rFonts w:ascii="Segoe UI" w:hAnsi="Segoe UI" w:cs="Segoe UI"/>
          <w:i/>
          <w:iCs/>
          <w:sz w:val="18"/>
          <w:szCs w:val="18"/>
          <w:lang w:val="id-ID"/>
        </w:rPr>
        <w:t xml:space="preserve">              Sumber: Diolah penulis dari peraturan perundang-undangan dan temuan penelitian terdahulu (Sitompul, 2025; Setiawan et al., 2024)</w:t>
      </w:r>
    </w:p>
    <w:p w14:paraId="07D145CA" w14:textId="77777777" w:rsidR="00EE0E4F" w:rsidRPr="002D6A6F" w:rsidRDefault="00EE0E4F">
      <w:pPr>
        <w:pStyle w:val="IEEEParagraph"/>
        <w:rPr>
          <w:lang w:val="sv-SE"/>
        </w:rPr>
      </w:pPr>
    </w:p>
    <w:p w14:paraId="026F16C0"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lastRenderedPageBreak/>
        <w:t>Tabel 2 memperlihatkan bahwa kegagalan perlindungan bersifat kumulatif. Keengganan melapor mengurangi jumlah perkara yang masuk; pengarahan pada penyelesaian kekeluargaan mengurangi perkara yang naik ke penyidikan; kesulitan pembuktian mengurangi perkara yang sampai ke penuntutan; sedangkan lemahnya pemulihan membuat korban yang perkaranya berhasil diputus tetap berada dalam kerentanan. Temuan tersebut memperlihatkan bahwa efektivitas penegakan hukum KDRT tidak dapat diukur dari angka pemidanaan semata, karena sebagian besar persoalan justru terjadi sebelum perkara memasuki ruang sidang.</w:t>
      </w:r>
    </w:p>
    <w:p w14:paraId="7AC87859"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Penelitian terdahulu di wilayah perkotaan menemukan bahwa ketergantungan ekonomi merupakan faktor dominan yang membuat korban bertahan dalam siklus kekerasan, diikuti budaya patriarki dan rendahnya literasi hukum, sementara penyalahgunaan alkohol serta kecemburuan dan konflik personal menempati urutan berikutnya (Sitompul, 2025). Jika dikaitkan dengan kerangka roda kekuasaan dan kontrol, pola tersebut menegaskan bahwa dominasi ekonomi bukan sekadar latar belakang sosial, melainkan instrumen kontrol yang dipakai pelaku untuk mempertahankan kekuasaannya (Pence &amp; Paymar, 1993). Konsekuensi hukumnya penting: pencabutan laporan oleh korban tidak dapat dibaca sebagai kehendak bebas apabila korban berada dalam posisi ketergantungan.</w:t>
      </w:r>
    </w:p>
    <w:p w14:paraId="77BDDBCD"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Kesulitan pembuktian menempati posisi khusus. Kekerasan psikis berupa penghinaan, ancaman, pengucilan, dan intimidasi tidak meninggalkan jejak fisik sehingga sulit dibuktikan tanpa keterangan ahli, sementara ketersediaan pemeriksaan psikiatrik forensik tidak merata (Setiawan et al., 2024). Kekerasan seksual dalam perkawinan menghadapi hambatan tambahan berupa anggapan bahwa hubungan seksual dalam perkawinan merupakan kewajiban mutlak, sehingga korban sering tidak menyadari haknya untuk menolak (Sitompul, 2025). Hambatan pembuktian karena itu tidak semata bersifat teknis, melainkan berakar pada konstruksi sosial mengenai relasi suami-istri.</w:t>
      </w:r>
    </w:p>
    <w:p w14:paraId="49A646C7" w14:textId="77777777" w:rsidR="00EE0E4F" w:rsidRDefault="00000000">
      <w:pPr>
        <w:pStyle w:val="Heading2"/>
        <w:rPr>
          <w:shd w:val="clear" w:color="auto" w:fill="FFFFFF"/>
        </w:rPr>
      </w:pPr>
      <w:r>
        <w:rPr>
          <w:shd w:val="clear" w:color="auto" w:fill="FFFFFF"/>
        </w:rPr>
        <w:t>3.3 Delik Aduan dan Mediasi sebagai Titik Rawan Perlindungan</w:t>
      </w:r>
    </w:p>
    <w:p w14:paraId="0AF60B26"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Temuan ketiga memusatkan perhatian pada dua instrumen yang secara normatif dimaksudkan menjaga keseimbangan, tetapi dalam praktik justru menjadi titik rawan. Instrumen pertama adalah kualifikasi delik aduan bagi kekerasan fisik ringan, kekerasan psikis ringan, dan kekerasan seksual dalam lingkup suami-istri. Kualifikasi ini menempatkan berjalannya proses hukum sepenuhnya pada kehendak korban. Dalam kondisi ideal, ketentuan tersebut menghormati otonomi korban dan menjaga ruang privat keluarga. Namun, dalam kondisi ketergantungan ekonomi dan tekanan psikologis, otonomi tersebut bersifat semu.</w:t>
      </w:r>
    </w:p>
    <w:p w14:paraId="1C1675E4"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Jika dikaitkan dengan siklus kekerasan, kerapuhan tersebut menjadi lebih jelas. Pengaduan umumnya diajukan pada puncak fase kekerasan, ketika korban berada dalam keadaan terluka dan marah. Proses hukum kemudian berjalan memasuki fase rekonsiliasi semu, ketika pelaku meminta maaf dan menjanjikan perubahan, sehingga korban menarik pengaduannya (Walker, 1979). Pola ini menjelaskan mengapa banyak perkara berhenti di tengah jalan bukan karena tidak terbukti, melainkan karena arsitektur normatifnya menyerahkan kelanjutan perkara pada pihak yang sedang berada dalam tekanan relasi kuasa.</w:t>
      </w:r>
    </w:p>
    <w:p w14:paraId="24B57170"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 xml:space="preserve">Menurut analisis penulis, kedua instrumen tersebut tidak perlu dihapus, tetapi harus diberi rambu yang tegas. Pencabutan pengaduan sebaiknya hanya dapat diterima setelah korban memperoleh pendampingan hukum dan psikologis serta dilakukan di hadapan pejabat yang berwenang, agar dapat dinilai apakah pencabutan lahir dari kehendak bebas. Penyelesaian di luar proses peradilan seharusnya dikecualikan bagi kekerasan berulang, kekerasan yang menimbulkan luka atau gangguan kejiwaan, dan kekerasan seksual. Kesepakatan perdamaian pun perlu memuat </w:t>
      </w:r>
      <w:r>
        <w:rPr>
          <w:rStyle w:val="longtext"/>
          <w:rFonts w:ascii="Segoe UI" w:hAnsi="Segoe UI" w:cs="Segoe UI"/>
          <w:sz w:val="22"/>
          <w:szCs w:val="22"/>
          <w:shd w:val="clear" w:color="auto" w:fill="FFFFFF"/>
          <w:lang w:val="id-ID"/>
        </w:rPr>
        <w:lastRenderedPageBreak/>
        <w:t>kewajiban terukur berupa restitusi, pemenuhan nafkah, dan program perubahan perilaku disertai pemantauan.</w:t>
      </w:r>
    </w:p>
    <w:p w14:paraId="5FCDA5B6"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Menurut analisis penulis, kedua instrumen tersebut tidak perlu dihapus, tetapi harus diberi rambu yang tegas. Pertama, pencabutan pengaduan sebaiknya hanya dapat diterima setelah korban memperoleh pendampingan hukum dan psikologis serta dilakukan di hadapan pejabat yang berwenang, agar dapat dinilai apakah pencabutan itu lahir dari kehendak bebas. Kedua, penyelesaian di luar proses peradilan seharusnya dikecualikan bagi kekerasan yang berulang, kekerasan yang menimbulkan luka atau gangguan kejiwaan, dan kekerasan seksual. Ketiga, kesepakatan perdamaian perlu memuat kewajiban terukur berupa restitusi, pemenuhan nafkah, dan mengikuti program perubahan perilaku, disertai pemantauan, sehingga perdamaian tidak berhenti sebagai penghentian perkara.</w:t>
      </w:r>
    </w:p>
    <w:p w14:paraId="6F5B10A7" w14:textId="77777777" w:rsidR="00EE0E4F" w:rsidRDefault="00000000">
      <w:pPr>
        <w:pStyle w:val="Heading2"/>
        <w:rPr>
          <w:shd w:val="clear" w:color="auto" w:fill="FFFFFF"/>
        </w:rPr>
      </w:pPr>
      <w:r>
        <w:rPr>
          <w:shd w:val="clear" w:color="auto" w:fill="FFFFFF"/>
        </w:rPr>
        <w:t>3.4 Implikasi Pembaruan Hukum Pidana Nasional terhadap Penanganan KDRT</w:t>
      </w:r>
    </w:p>
    <w:p w14:paraId="139AD932"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Temuan keempat menyangkut posisi perkara KDRT dalam arsitektur hukum pidana yang baru. Berlakunya Undang-Undang Nomor 1 Tahun 2023 tentang Kitab Undang-Undang Hukum Pidana pada Januari 2026 membawa perubahan asas dan aturan umum pemidanaan yang pada prinsipnya berlaku pula bagi tindak pidana di luar Kitab Undang-Undang Hukum Pidana sepanjang tidak ditentukan lain oleh undang-undangnya. Perubahan tersebut mencakup penegasan tujuan pemidanaan dan pedoman pemidanaan yang mewajibkan hakim mempertimbangkan keadaan pribadi pelaku, korban, serta pengaruh pidana terhadap masa depan keduanya.</w:t>
      </w:r>
    </w:p>
    <w:p w14:paraId="368B16D3"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Secara yuridis, pedoman pemidanaan tersebut membuka ruang yang selama ini tidak tersedia secara tegas, yaitu kewajiban hakim menimbang posisi korban dalam menentukan jenis dan berat pidana. Dalam perkara KDRT, pertimbangan demikian dapat digunakan untuk memilih kombinasi pidana yang tetap menegaskan kesalahan pelaku tanpa menghilangkan sumber penghidupan keluarga korban, misalnya melalui pidana pengawasan atau pidana bersyarat yang disertai kewajiban tertentu. Menurut analisis penulis, pemanfaatan ruang ini hanya akan berpihak pada korban apabila disertai kewajiban restitusi dan pemantauan kepatuhan, karena tanpa itu keringanan pidana berisiko dibaca sebagai toleransi terhadap kekerasan.</w:t>
      </w:r>
    </w:p>
    <w:p w14:paraId="10F77752"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Undang-Undang Nomor 20 Tahun 2025 tentang Hukum Acara Pidana turut menggeser kerangka acara yang menjadi rujukan penanganan perkara KDRT, sementara Undang-Undang Nomor 12 Tahun 2022 telah lebih dulu memperkenalkan hukum acara khusus yang berpihak pada korban kekerasan seksual. Terdapat tiga lapis pengaturan yang berpotensi tumpang tindih dalam satu perkara kekerasan seksual yang terjadi dalam rumah tangga. Harmonisasi diperlukan agar korban tidak dirugikan oleh ketidakjelasan mengenai hukum acara yang berlaku, khususnya menyangkut hak pendampingan, pembatasan mekanisme perdamaian, dan tata cara pengajuan restitusi.</w:t>
      </w:r>
    </w:p>
    <w:p w14:paraId="00A93007" w14:textId="77777777" w:rsidR="00EE0E4F" w:rsidRDefault="00000000">
      <w:pPr>
        <w:pStyle w:val="Heading2"/>
        <w:rPr>
          <w:shd w:val="clear" w:color="auto" w:fill="FFFFFF"/>
        </w:rPr>
      </w:pPr>
      <w:r>
        <w:rPr>
          <w:shd w:val="clear" w:color="auto" w:fill="FFFFFF"/>
        </w:rPr>
        <w:t>3.5 Model Penegakan Hukum yang Responsif terhadap Perlindungan Korban</w:t>
      </w:r>
    </w:p>
    <w:p w14:paraId="75A42899"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Berdasarkan analisis atas konstruksi norma dan titik putus efektivitasnya, penelitian ini merumuskan model penegakan hukum responsif korban yang bekerja pada empat lapis secara berurutan, yaitu pencegahan, penghentian kekerasan, pemrosesan perkara, dan pemulihan. Model tersebut disajikan pada Tabel 3.</w:t>
      </w:r>
    </w:p>
    <w:p w14:paraId="35B66E4B" w14:textId="77777777" w:rsidR="00EE0E4F" w:rsidRDefault="00000000">
      <w:pPr>
        <w:tabs>
          <w:tab w:val="left" w:pos="450"/>
        </w:tabs>
        <w:spacing w:before="100" w:beforeAutospacing="1" w:after="100" w:afterAutospacing="1"/>
        <w:contextualSpacing/>
        <w:jc w:val="center"/>
        <w:rPr>
          <w:rFonts w:eastAsia="Constantia" w:cs="Segoe UI"/>
          <w:sz w:val="20"/>
          <w:szCs w:val="20"/>
        </w:rPr>
      </w:pPr>
      <w:r>
        <w:rPr>
          <w:rFonts w:eastAsia="Constantia" w:cs="Segoe UI"/>
          <w:b/>
          <w:bCs/>
          <w:sz w:val="20"/>
          <w:szCs w:val="20"/>
        </w:rPr>
        <w:t>Tabel 3.</w:t>
      </w:r>
      <w:r>
        <w:rPr>
          <w:rFonts w:eastAsia="Constantia" w:cs="Segoe UI"/>
          <w:sz w:val="20"/>
          <w:szCs w:val="20"/>
        </w:rPr>
        <w:t xml:space="preserve"> Model Penegakan Hukum Responsif Korban dalam Perkara Kekerasan dalam Rumah Tangga</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15"/>
        <w:gridCol w:w="2100"/>
        <w:gridCol w:w="1900"/>
        <w:gridCol w:w="1915"/>
      </w:tblGrid>
      <w:tr w:rsidR="006F0069" w:rsidRPr="006F0069" w14:paraId="68D7BF81" w14:textId="77777777" w:rsidTr="006F0069">
        <w:trPr>
          <w:tblHeader/>
          <w:tblCellSpacing w:w="15" w:type="dxa"/>
          <w:jc w:val="center"/>
        </w:trPr>
        <w:tc>
          <w:tcPr>
            <w:tcW w:w="1470" w:type="dxa"/>
            <w:tcBorders>
              <w:top w:val="single" w:sz="4" w:space="0" w:color="auto"/>
              <w:bottom w:val="single" w:sz="4" w:space="0" w:color="auto"/>
            </w:tcBorders>
            <w:vAlign w:val="center"/>
          </w:tcPr>
          <w:p w14:paraId="32B20A3D" w14:textId="77777777" w:rsidR="00EE0E4F"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lastRenderedPageBreak/>
              <w:t>Lapis</w:t>
            </w:r>
          </w:p>
        </w:tc>
        <w:tc>
          <w:tcPr>
            <w:tcW w:w="2070" w:type="dxa"/>
            <w:tcBorders>
              <w:top w:val="single" w:sz="4" w:space="0" w:color="auto"/>
              <w:bottom w:val="single" w:sz="4" w:space="0" w:color="auto"/>
            </w:tcBorders>
            <w:vAlign w:val="center"/>
          </w:tcPr>
          <w:p w14:paraId="733F9B93" w14:textId="77777777" w:rsidR="00EE0E4F"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Tujuan</w:t>
            </w:r>
          </w:p>
        </w:tc>
        <w:tc>
          <w:tcPr>
            <w:tcW w:w="1870" w:type="dxa"/>
            <w:tcBorders>
              <w:top w:val="single" w:sz="4" w:space="0" w:color="auto"/>
              <w:bottom w:val="single" w:sz="4" w:space="0" w:color="auto"/>
            </w:tcBorders>
            <w:vAlign w:val="center"/>
          </w:tcPr>
          <w:p w14:paraId="6A40594D" w14:textId="77777777" w:rsidR="00EE0E4F"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Instrumen Utama</w:t>
            </w:r>
          </w:p>
        </w:tc>
        <w:tc>
          <w:tcPr>
            <w:tcW w:w="1870" w:type="dxa"/>
            <w:tcBorders>
              <w:top w:val="single" w:sz="4" w:space="0" w:color="auto"/>
              <w:bottom w:val="single" w:sz="4" w:space="0" w:color="auto"/>
            </w:tcBorders>
            <w:vAlign w:val="center"/>
          </w:tcPr>
          <w:p w14:paraId="41AEC566" w14:textId="77777777" w:rsidR="00EE0E4F"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Pelaksana</w:t>
            </w:r>
          </w:p>
        </w:tc>
      </w:tr>
      <w:tr w:rsidR="006F0069" w:rsidRPr="006F0069" w14:paraId="15BA2E83" w14:textId="77777777" w:rsidTr="006F0069">
        <w:trPr>
          <w:tblCellSpacing w:w="15" w:type="dxa"/>
          <w:jc w:val="center"/>
        </w:trPr>
        <w:tc>
          <w:tcPr>
            <w:tcW w:w="1470" w:type="dxa"/>
            <w:vAlign w:val="center"/>
          </w:tcPr>
          <w:p w14:paraId="37DAB5D2"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Pencegahan</w:t>
            </w:r>
          </w:p>
        </w:tc>
        <w:tc>
          <w:tcPr>
            <w:tcW w:w="2070" w:type="dxa"/>
            <w:vAlign w:val="center"/>
          </w:tcPr>
          <w:p w14:paraId="5C7DF9BA"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Menurunkan permisivitas sosial dan meningkatkan literasi hukum</w:t>
            </w:r>
          </w:p>
        </w:tc>
        <w:tc>
          <w:tcPr>
            <w:tcW w:w="1870" w:type="dxa"/>
            <w:vAlign w:val="center"/>
          </w:tcPr>
          <w:p w14:paraId="67E23680"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Edukasi kesetaraan gender, penyuluhan hukum berbasis komunitas, pelibatan tokoh agama dan adat</w:t>
            </w:r>
          </w:p>
        </w:tc>
        <w:tc>
          <w:tcPr>
            <w:tcW w:w="1870" w:type="dxa"/>
            <w:vAlign w:val="center"/>
          </w:tcPr>
          <w:p w14:paraId="6C51B5D9"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Pemerintah daerah, satuan pendidikan, organisasi masyarakat sipil</w:t>
            </w:r>
          </w:p>
        </w:tc>
      </w:tr>
      <w:tr w:rsidR="006F0069" w:rsidRPr="006F0069" w14:paraId="628E2E15" w14:textId="77777777" w:rsidTr="006F0069">
        <w:trPr>
          <w:tblCellSpacing w:w="15" w:type="dxa"/>
          <w:jc w:val="center"/>
        </w:trPr>
        <w:tc>
          <w:tcPr>
            <w:tcW w:w="1470" w:type="dxa"/>
            <w:vAlign w:val="center"/>
          </w:tcPr>
          <w:p w14:paraId="229701A0"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Penghentian kekerasan</w:t>
            </w:r>
          </w:p>
        </w:tc>
        <w:tc>
          <w:tcPr>
            <w:tcW w:w="2070" w:type="dxa"/>
            <w:vAlign w:val="center"/>
          </w:tcPr>
          <w:p w14:paraId="16262D25"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Memutus kekerasan yang sedang berlangsung</w:t>
            </w:r>
          </w:p>
        </w:tc>
        <w:tc>
          <w:tcPr>
            <w:tcW w:w="1870" w:type="dxa"/>
            <w:vAlign w:val="center"/>
          </w:tcPr>
          <w:p w14:paraId="519EABFF"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Perintah perlindungan, rumah aman, pendampingan awal, penilaian risiko kekerasan berulang</w:t>
            </w:r>
          </w:p>
        </w:tc>
        <w:tc>
          <w:tcPr>
            <w:tcW w:w="1870" w:type="dxa"/>
            <w:vAlign w:val="center"/>
          </w:tcPr>
          <w:p w14:paraId="4F394162"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Kepolisian, unit layanan perempuan dan anak, pengadilan</w:t>
            </w:r>
          </w:p>
        </w:tc>
      </w:tr>
      <w:tr w:rsidR="006F0069" w:rsidRPr="006F0069" w14:paraId="29C2EFD1" w14:textId="77777777" w:rsidTr="006F0069">
        <w:trPr>
          <w:tblCellSpacing w:w="15" w:type="dxa"/>
          <w:jc w:val="center"/>
        </w:trPr>
        <w:tc>
          <w:tcPr>
            <w:tcW w:w="1470" w:type="dxa"/>
            <w:vAlign w:val="center"/>
          </w:tcPr>
          <w:p w14:paraId="038AC189"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Pemrosesan perkara</w:t>
            </w:r>
          </w:p>
        </w:tc>
        <w:tc>
          <w:tcPr>
            <w:tcW w:w="2070" w:type="dxa"/>
            <w:vAlign w:val="center"/>
          </w:tcPr>
          <w:p w14:paraId="7D2F5971"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Menegakkan norma tanpa menambah penderitaan korban</w:t>
            </w:r>
          </w:p>
        </w:tc>
        <w:tc>
          <w:tcPr>
            <w:tcW w:w="1870" w:type="dxa"/>
            <w:vAlign w:val="center"/>
          </w:tcPr>
          <w:p w14:paraId="1C87387E"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Pemeriksaan sensitif gender, pendampingan hukum dan psikologis, pembatasan mekanisme perdamaian</w:t>
            </w:r>
          </w:p>
        </w:tc>
        <w:tc>
          <w:tcPr>
            <w:tcW w:w="1870" w:type="dxa"/>
            <w:vAlign w:val="center"/>
          </w:tcPr>
          <w:p w14:paraId="0A8EF7BE"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Penyidik, penuntut umum, hakim</w:t>
            </w:r>
          </w:p>
        </w:tc>
      </w:tr>
      <w:tr w:rsidR="006F0069" w:rsidRPr="006F0069" w14:paraId="6625491E" w14:textId="77777777" w:rsidTr="006F0069">
        <w:trPr>
          <w:tblCellSpacing w:w="15" w:type="dxa"/>
          <w:jc w:val="center"/>
        </w:trPr>
        <w:tc>
          <w:tcPr>
            <w:tcW w:w="1470" w:type="dxa"/>
            <w:tcBorders>
              <w:bottom w:val="single" w:sz="4" w:space="0" w:color="auto"/>
            </w:tcBorders>
            <w:vAlign w:val="center"/>
          </w:tcPr>
          <w:p w14:paraId="3676FCD1"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Pemulihan</w:t>
            </w:r>
          </w:p>
        </w:tc>
        <w:tc>
          <w:tcPr>
            <w:tcW w:w="2070" w:type="dxa"/>
            <w:tcBorders>
              <w:bottom w:val="single" w:sz="4" w:space="0" w:color="auto"/>
            </w:tcBorders>
            <w:vAlign w:val="center"/>
          </w:tcPr>
          <w:p w14:paraId="0DCDBA3E"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Mengembalikan kemandirian korban dan mencegah reviktimisasi</w:t>
            </w:r>
          </w:p>
        </w:tc>
        <w:tc>
          <w:tcPr>
            <w:tcW w:w="1870" w:type="dxa"/>
            <w:tcBorders>
              <w:bottom w:val="single" w:sz="4" w:space="0" w:color="auto"/>
            </w:tcBorders>
            <w:vAlign w:val="center"/>
          </w:tcPr>
          <w:p w14:paraId="286E879C"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Restitusi, rehabilitasi psikososial, pemberdayaan ekonomi, program perubahan perilaku pelaku</w:t>
            </w:r>
          </w:p>
        </w:tc>
        <w:tc>
          <w:tcPr>
            <w:tcW w:w="1870" w:type="dxa"/>
            <w:tcBorders>
              <w:bottom w:val="single" w:sz="4" w:space="0" w:color="auto"/>
            </w:tcBorders>
            <w:vAlign w:val="center"/>
          </w:tcPr>
          <w:p w14:paraId="33553028" w14:textId="77777777" w:rsidR="00EE0E4F"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Lembaga perlindungan saksi dan korban, dinas sosial, lembaga layanan</w:t>
            </w:r>
          </w:p>
        </w:tc>
      </w:tr>
    </w:tbl>
    <w:p w14:paraId="3F72F4E4" w14:textId="77777777" w:rsidR="00EE0E4F" w:rsidRDefault="00000000">
      <w:pPr>
        <w:pStyle w:val="IEEEParagraph"/>
        <w:ind w:firstLine="567"/>
        <w:rPr>
          <w:rFonts w:ascii="Segoe UI" w:hAnsi="Segoe UI" w:cs="Segoe UI"/>
          <w:i/>
          <w:iCs/>
          <w:sz w:val="18"/>
          <w:szCs w:val="18"/>
          <w:lang w:val="id-ID"/>
        </w:rPr>
      </w:pPr>
      <w:r>
        <w:rPr>
          <w:rFonts w:ascii="Segoe UI" w:hAnsi="Segoe UI" w:cs="Segoe UI"/>
          <w:i/>
          <w:iCs/>
          <w:sz w:val="18"/>
          <w:szCs w:val="18"/>
          <w:lang w:val="id-ID"/>
        </w:rPr>
        <w:t xml:space="preserve">              Sumber: Hasil analisis penulis (2026)</w:t>
      </w:r>
    </w:p>
    <w:p w14:paraId="3829A55F" w14:textId="77777777" w:rsidR="00EE0E4F" w:rsidRPr="002D6A6F" w:rsidRDefault="00EE0E4F">
      <w:pPr>
        <w:pStyle w:val="IEEEParagraph"/>
        <w:rPr>
          <w:lang w:val="sv-SE"/>
        </w:rPr>
      </w:pPr>
    </w:p>
    <w:p w14:paraId="30B9FF7C"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Tabel 3 memperlihatkan bahwa pemidanaan hanya menempati satu lapis dari empat lapis yang diperlukan. Implikasinya, keberhasilan penegakan hukum KDRT sebaiknya diukur melalui indikator gabungan, yaitu menurunnya kekerasan berulang pada korban yang sama, meningkatnya proporsi perkara yang disertai pendampingan psikologis, dan terlaksananya restitusi, bukan semata jumlah terdakwa yang dipidana. Pengukuran demikian sejalan dengan pandangan bahwa perlindungan hukum tidak cukup berbentuk pidana, melainkan harus mencakup pendampingan, pemulihan, dan pemberdayaan korban (Sitompul, 2025).</w:t>
      </w:r>
    </w:p>
    <w:p w14:paraId="6A8B06F2"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Model tersebut menuntut prasyarat kelembagaan yang tidak dapat diabaikan. Penyidik dan hakim memerlukan pelatihan sensitivitas gender yang berkelanjutan; layanan pendampingan perlu tersedia hingga wilayah dengan sumber daya terbatas; dan koordinasi antara kepolisian, kejaksaan, pengadilan, dinas sosial, serta organisasi masyarakat sipil perlu dibakukan dalam prosedur bersama, bukan diserahkan pada inisiatif individual (Setiawan et al., 2024; Sari &amp; Husna, 2025). Tanpa prasyarat tersebut, penambahan norma baru hanya akan memperpanjang daftar hak yang tidak dapat diakses korban.</w:t>
      </w:r>
    </w:p>
    <w:p w14:paraId="72965604" w14:textId="77777777" w:rsidR="00EE0E4F" w:rsidRDefault="00000000">
      <w:pPr>
        <w:pStyle w:val="Heading3"/>
        <w:ind w:left="1134" w:right="322" w:hanging="425"/>
      </w:pPr>
      <w:r>
        <w:t>KESIMPULAN</w:t>
      </w:r>
    </w:p>
    <w:p w14:paraId="0C6ECB12"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 xml:space="preserve">Penelitian ini menyimpulkan bahwa secara normatif Indonesia telah memiliki kerangka hukum yang memadai untuk menanggulangi kekerasan dalam rumah tangga. Undang-Undang Nomor 23 Tahun 2004 melarang empat bentuk kekerasan, yaitu kekerasan fisik, psikis, seksual, dan penelantaran rumah tangga, dengan ancaman pidana berjenjang menurut bentuk dan akibat perbuatan, serta menyediakan perangkat perlindungan berupa perintah perlindungan, rumah </w:t>
      </w:r>
      <w:r>
        <w:rPr>
          <w:rStyle w:val="longtext"/>
          <w:rFonts w:ascii="Segoe UI" w:hAnsi="Segoe UI" w:cs="Segoe UI"/>
          <w:sz w:val="22"/>
          <w:szCs w:val="22"/>
          <w:shd w:val="clear" w:color="auto" w:fill="FFFFFF"/>
          <w:lang w:val="id-ID"/>
        </w:rPr>
        <w:lastRenderedPageBreak/>
        <w:t>aman, dan layanan pemulihan. Kerangka tersebut diperkuat oleh Undang-Undang Nomor 31 Tahun 2014 yang memperluas hak korban atas rehabilitasi dan restitusi, Peraturan Mahkamah Agung Nomor 3 Tahun 2017 yang mewajibkan hakim mempertimbangkan ketimpangan relasi kuasa, serta Undang-Undang Nomor 12 Tahun 2022 yang memperkenalkan hukum acara yang lebih berpihak pada korban.</w:t>
      </w:r>
    </w:p>
    <w:p w14:paraId="11712F82"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Ketidakefektifan penegakan hukum karena itu tidak bersumber dari kekosongan norma, melainkan dari terputusnya rangkaian perlindungan pada lima titik, yaitu pelaporan, penyidikan, pembuktian, perlindungan sementara, dan pemulihan. Keengganan melapor yang berakar pada ketergantungan ekonomi, persepsi aparat bahwa kekerasan domestik merupakan urusan privat, kesulitan membuktikan kekerasan psikis dan kekerasan seksual dalam perkawinan, keterbatasan layanan perlindungan, serta lemahnya koordinasi pemulihan menyebabkan sebagian besar perkara berhenti sebelum memasuki ruang sidang. Kualifikasi delik aduan bagi kekerasan fisik ringan, psikis ringan, dan kekerasan seksual dalam lingkup suami-istri, yang dipadukan dengan praktik mediasi kekeluargaan, memindahkan beban perlindungan kepada pihak yang paling lemah posisinya.</w:t>
      </w:r>
    </w:p>
    <w:p w14:paraId="3E384A05"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Model penegakan hukum yang responsif terhadap perlindungan korban karena itu harus bekerja pada empat lapis, yaitu pencegahan melalui edukasi kesetaraan gender dan literasi hukum, penghentian kekerasan melalui perintah perlindungan dan penilaian risiko, pemrosesan perkara melalui pemeriksaan yang sensitif gender dan pembatasan mekanisme perdamaian pada kekerasan berulang serta kekerasan seksual, dan pemulihan melalui restitusi, rehabilitasi psikososial, serta pemberdayaan ekonomi korban. Keberhasilan penegakan hukum sebaiknya diukur melalui indikator gabungan yang mencakup menurunnya kekerasan berulang dan terlaksananya pemulihan, bukan semata jumlah pelaku yang dipidana.</w:t>
      </w:r>
    </w:p>
    <w:p w14:paraId="107C79B6"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Penelitian ini juga menegaskan bahwa persoalan penegakan hukum KDRT tidak dapat dilepaskan dari arah pembaruan hukum pidana nasional. Pedoman pemidanaan dalam Undang-Undang Nomor 1 Tahun 2023 membuka ruang bagi hakim untuk menimbang posisi korban dalam menentukan jenis dan berat pidana, sehingga memungkinkan pemilihan kombinasi pidana yang menegaskan kesalahan pelaku tanpa mematikan sumber penghidupan keluarga korban. Ruang tersebut hanya akan berpihak pada korban apabila disertai kewajiban restitusi dan pemantauan kepatuhan, sebab tanpa keduanya keringanan pidana berisiko dibaca sebagai toleransi terhadap kekerasan.</w:t>
      </w:r>
    </w:p>
    <w:p w14:paraId="1255F112"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Implikasi teoretis dan praktis dari temuan ini dapat dirumuskan secara ringkas. Secara teoretis, penelitian ini menegaskan bahwa efektivitas hukum pidana dalam perkara yang lahir dari relasi kuasa yang timpang tidak dapat dinilai dengan ukuran yang sama seperti kejahatan antarpihak yang setara, karena kehendak korban untuk melanjutkan perkara sendiri merupakan variabel yang dipengaruhi oleh kekuasaan pelaku. Kualifikasi delik aduan yang lazim dipandang sebagai bentuk penghormatan atas otonomi korban karena itu perlu dibaca ulang sebagai pemindahan beban perlindungan. Secara praktis, temuan ini menuntut perubahan cara kerja aparat, yaitu menempatkan penilaian risiko kekerasan berulang dan pendampingan sebagai tindakan pertama, bukan sebagai pelengkap yang menyusul setelah perkara dinyatakan lengkap. Perubahan cara kerja tersebut tidak memerlukan norma baru, melainkan penegasan prosedur dan pembakuan koordinasi antarlembaga yang selama ini berjalan atas dasar inisiatif masing-masing.</w:t>
      </w:r>
    </w:p>
    <w:p w14:paraId="060DEAA0"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 xml:space="preserve">Berdasarkan temuan tersebut, disarankan agar pencabutan pengaduan dalam perkara KDRT hanya dapat diterima setelah korban memperoleh pendampingan hukum dan psikologis sehingga dapat dinilai kebebasan kehendaknya; agar penyelesaian di luar proses peradilan dikecualikan </w:t>
      </w:r>
      <w:r>
        <w:rPr>
          <w:rStyle w:val="longtext"/>
          <w:rFonts w:ascii="Segoe UI" w:hAnsi="Segoe UI" w:cs="Segoe UI"/>
          <w:sz w:val="22"/>
          <w:szCs w:val="22"/>
          <w:shd w:val="clear" w:color="auto" w:fill="FFFFFF"/>
          <w:lang w:val="id-ID"/>
        </w:rPr>
        <w:lastRenderedPageBreak/>
        <w:t>bagi kekerasan berulang, kekerasan yang menimbulkan luka atau gangguan kejiwaan, dan kekerasan seksual; agar kesepakatan perdamaian memuat kewajiban terukur berupa restitusi dan program perubahan perilaku yang dipantau pelaksanaannya; serta agar dilakukan harmonisasi antara Undang-Undang Nomor 23 Tahun 2004, Undang-Undang Nomor 12 Tahun 2022, dan pembaruan hukum pidana nasional melalui Undang-Undang Nomor 1 Tahun 2023 dan Undang-Undang Nomor 20 Tahun 2025, khususnya menyangkut hak pendampingan, pembatasan perdamaian, dan tata cara pengajuan restitusi. Penelitian lanjutan disarankan menguji secara empiris pengaruh pendampingan terhadap keberlanjutan perkara dan tingkat kekerasan berulang.</w:t>
      </w:r>
    </w:p>
    <w:p w14:paraId="5EEEC09C" w14:textId="77777777" w:rsidR="00EE0E4F"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Keterbatasan penelitian perlu ditegaskan agar simpulan dibaca secara proporsional. Penelitian ini tidak melakukan pengumpulan data primer sendiri sehingga gambaran empirisnya bergantung pada cakupan, metode, dan periode penelitian terdahulu yang dirujuk, dan angka yang ditampilkan tidak dapat diperlakukan sebagai representasi nasional. Meskipun demikian, pola kesenjangan yang ditemukan bersifat struktural dan konsisten muncul pada beberapa wilayah penelitian yang berbeda, sehingga layak dijadikan hipotesis kerja bagi penelitian empiris berikutnya yang menguji efektivitas perlindungan korban secara terukur.</w:t>
      </w:r>
    </w:p>
    <w:p w14:paraId="085FFB44" w14:textId="77777777" w:rsidR="00EE0E4F" w:rsidRPr="002D6A6F" w:rsidRDefault="00000000">
      <w:pPr>
        <w:pStyle w:val="IEEEHeading1"/>
        <w:numPr>
          <w:ilvl w:val="0"/>
          <w:numId w:val="0"/>
        </w:numPr>
        <w:ind w:firstLine="567"/>
        <w:jc w:val="both"/>
        <w:rPr>
          <w:rFonts w:ascii="Segoe UI" w:hAnsi="Segoe UI" w:cs="Segoe UI"/>
          <w:b/>
          <w:bCs/>
          <w:sz w:val="24"/>
          <w:lang w:val="sv-SE"/>
        </w:rPr>
      </w:pPr>
      <w:proofErr w:type="spellStart"/>
      <w:r w:rsidRPr="002D6A6F">
        <w:rPr>
          <w:rFonts w:ascii="Segoe UI" w:hAnsi="Segoe UI" w:cs="Segoe UI"/>
          <w:b/>
          <w:bCs/>
          <w:sz w:val="24"/>
          <w:lang w:val="sv-SE"/>
        </w:rPr>
        <w:t>Referensi</w:t>
      </w:r>
      <w:proofErr w:type="spellEnd"/>
    </w:p>
    <w:p w14:paraId="653703F7" w14:textId="77777777" w:rsidR="00EE0E4F"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Farid, M. R. A. (2019). Kekerasan terhadap perempuan dalam ketimpangan relasi kuasa: Studi kasus di Rifka Annisa Women's Crisis Center. </w:t>
      </w:r>
      <w:r>
        <w:rPr>
          <w:rFonts w:cs="Segoe UI"/>
          <w:i/>
          <w:iCs/>
          <w:noProof/>
        </w:rPr>
        <w:t>SAWWA: Jurnal Studi Gender, 14</w:t>
      </w:r>
      <w:r>
        <w:rPr>
          <w:rFonts w:cs="Segoe UI"/>
          <w:noProof/>
        </w:rPr>
        <w:t>(2), 175–190.</w:t>
      </w:r>
    </w:p>
    <w:p w14:paraId="0AA017A4" w14:textId="77777777" w:rsidR="00EE0E4F"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Nasrudiansyah, I., &amp; Alijaya, A. (2023). Kajian yuridis Undang-Undang No. 23 Tahun 2004 tentang penghapusan kekerasan dalam rumah tangga ditinjau berdasarkan hukum Islam. </w:t>
      </w:r>
      <w:r>
        <w:rPr>
          <w:rFonts w:cs="Segoe UI"/>
          <w:i/>
          <w:iCs/>
          <w:noProof/>
        </w:rPr>
        <w:t>MIM: Jurnal Kajian Hukum Islam, 1</w:t>
      </w:r>
      <w:r>
        <w:rPr>
          <w:rFonts w:cs="Segoe UI"/>
          <w:noProof/>
        </w:rPr>
        <w:t>(1), 39–64.</w:t>
      </w:r>
    </w:p>
    <w:p w14:paraId="3AB79A30" w14:textId="77777777" w:rsidR="00EE0E4F"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Pence, E., &amp; Paymar, M. (1993). </w:t>
      </w:r>
      <w:r>
        <w:rPr>
          <w:rFonts w:cs="Segoe UI"/>
          <w:i/>
          <w:iCs/>
          <w:noProof/>
        </w:rPr>
        <w:t>Education groups for men who batter: The Duluth model</w:t>
      </w:r>
      <w:r>
        <w:rPr>
          <w:rFonts w:cs="Segoe UI"/>
          <w:noProof/>
        </w:rPr>
        <w:t>. Springer.</w:t>
      </w:r>
    </w:p>
    <w:p w14:paraId="30A2F257" w14:textId="77777777" w:rsidR="00EE0E4F"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Peraturan Mahkamah Agung Republik Indonesia Nomor 3 Tahun 2017 tentang Pedoman Mengadili Perkara Perempuan Berhadapan dengan Hukum.</w:t>
      </w:r>
    </w:p>
    <w:p w14:paraId="7637B158" w14:textId="77777777" w:rsidR="00EE0E4F"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Rani, F. H., Pettanasse, I., Samsul, &amp; Ikhsan, R. M. (2024). Faktor penyebab reviktimisasi di Indonesia: Analisis terhadap wanita korban kejahatan yang mengalami kekerasan berulang. </w:t>
      </w:r>
      <w:r>
        <w:rPr>
          <w:rFonts w:cs="Segoe UI"/>
          <w:i/>
          <w:iCs/>
          <w:noProof/>
        </w:rPr>
        <w:t>Jurnal Hukum Legalita, 6</w:t>
      </w:r>
      <w:r>
        <w:rPr>
          <w:rFonts w:cs="Segoe UI"/>
          <w:noProof/>
        </w:rPr>
        <w:t>(2), 113–122.</w:t>
      </w:r>
    </w:p>
    <w:p w14:paraId="519B7095" w14:textId="77777777" w:rsidR="00EE0E4F"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Rosita, R. I., Zainuri, M., &amp; Nurwahid, A. (2025). Tinjauan Undang-Undang Nomor 23 Tahun 2004 terhadap penelantaran rumah tangga oleh suami sebagai bentuk kekerasan dalam rumah tangga. </w:t>
      </w:r>
      <w:r>
        <w:rPr>
          <w:rFonts w:cs="Segoe UI"/>
          <w:i/>
          <w:iCs/>
          <w:noProof/>
        </w:rPr>
        <w:t>TERAJU, 7</w:t>
      </w:r>
      <w:r>
        <w:rPr>
          <w:rFonts w:cs="Segoe UI"/>
          <w:noProof/>
        </w:rPr>
        <w:t>(1), 1–14.</w:t>
      </w:r>
    </w:p>
    <w:p w14:paraId="533AE875" w14:textId="77777777" w:rsidR="00EE0E4F"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Sari, S. W. N., &amp; Husna, N. (2025). Perlindungan hukum terhadap perempuan sebagai korban kekerasan dalam rumah tangga akibat pernikahan dini di Kota Banjarmasin. </w:t>
      </w:r>
      <w:r>
        <w:rPr>
          <w:rFonts w:cs="Segoe UI"/>
          <w:i/>
          <w:iCs/>
          <w:noProof/>
        </w:rPr>
        <w:t>SULTAN ADAM: Jurnal Hukum dan Sosial, 3</w:t>
      </w:r>
      <w:r>
        <w:rPr>
          <w:rFonts w:cs="Segoe UI"/>
          <w:noProof/>
        </w:rPr>
        <w:t>(1), 59–69.</w:t>
      </w:r>
    </w:p>
    <w:p w14:paraId="15F4B2AA" w14:textId="77777777" w:rsidR="00EE0E4F"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Setiawan, H., &amp; Sastro, M. (2024). Penerapan keadilan restorasi (restorative justice) terhadap penyelesaian tindak pidana penganiayaan di Polresta Banda Aceh. </w:t>
      </w:r>
      <w:r>
        <w:rPr>
          <w:rFonts w:cs="Segoe UI"/>
          <w:i/>
          <w:iCs/>
          <w:noProof/>
        </w:rPr>
        <w:t>Cendekia: Jurnal Hukum, Sosial dan Humaniora, 2</w:t>
      </w:r>
      <w:r>
        <w:rPr>
          <w:rFonts w:cs="Segoe UI"/>
          <w:noProof/>
        </w:rPr>
        <w:t>(3), 636–649.</w:t>
      </w:r>
    </w:p>
    <w:p w14:paraId="6776D549" w14:textId="77777777" w:rsidR="00EE0E4F"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Setiawan, N. H., Devi, S. S., Damayanti, L., Pramudya, F., &amp; Antony, H. (2024). Pemahaman dan faktor-faktor penyebab kekerasan dalam rumah tangga: Tinjauan literatur. </w:t>
      </w:r>
      <w:r>
        <w:rPr>
          <w:rFonts w:cs="Segoe UI"/>
          <w:i/>
          <w:iCs/>
          <w:noProof/>
        </w:rPr>
        <w:t>Jurnal Dialektika Hukum, 6</w:t>
      </w:r>
      <w:r>
        <w:rPr>
          <w:rFonts w:cs="Segoe UI"/>
          <w:noProof/>
        </w:rPr>
        <w:t>(2), 108–117.</w:t>
      </w:r>
    </w:p>
    <w:p w14:paraId="54E12DD5" w14:textId="77777777" w:rsidR="00EE0E4F"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Sitompul, L. H. (2025). Kekerasan dalam rumah tangga (KDRT). </w:t>
      </w:r>
      <w:r>
        <w:rPr>
          <w:rFonts w:cs="Segoe UI"/>
          <w:i/>
          <w:iCs/>
          <w:noProof/>
        </w:rPr>
        <w:t>Jurnal Dialektika Hukum, 7</w:t>
      </w:r>
      <w:r>
        <w:rPr>
          <w:rFonts w:cs="Segoe UI"/>
          <w:noProof/>
        </w:rPr>
        <w:t>(1), 82–96.</w:t>
      </w:r>
    </w:p>
    <w:p w14:paraId="5DA815D3" w14:textId="77777777" w:rsidR="00EE0E4F"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Tong, R. (2009). </w:t>
      </w:r>
      <w:r>
        <w:rPr>
          <w:rFonts w:cs="Segoe UI"/>
          <w:i/>
          <w:iCs/>
          <w:noProof/>
        </w:rPr>
        <w:t>Feminist thought: A more comprehensive introduction</w:t>
      </w:r>
      <w:r>
        <w:rPr>
          <w:rFonts w:cs="Segoe UI"/>
          <w:noProof/>
        </w:rPr>
        <w:t xml:space="preserve"> (3rd ed.). Westview Press.</w:t>
      </w:r>
    </w:p>
    <w:p w14:paraId="145A2A81" w14:textId="77777777" w:rsidR="00EE0E4F"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lastRenderedPageBreak/>
        <w:t>Undang-Undang Republik Indonesia Nomor 23 Tahun 2004 tentang Penghapusan Kekerasan dalam Rumah Tangga.</w:t>
      </w:r>
    </w:p>
    <w:p w14:paraId="621D4B16" w14:textId="77777777" w:rsidR="00EE0E4F"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Undang-Undang Republik Indonesia Nomor 13 Tahun 2006 tentang Perlindungan Saksi dan Korban.</w:t>
      </w:r>
    </w:p>
    <w:p w14:paraId="18D67BFD" w14:textId="77777777" w:rsidR="00EE0E4F"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Undang-Undang Republik Indonesia Nomor 31 Tahun 2014 tentang Perubahan atas Undang-Undang Nomor 13 Tahun 2006 tentang Perlindungan Saksi dan Korban.</w:t>
      </w:r>
    </w:p>
    <w:p w14:paraId="775F4916" w14:textId="77777777" w:rsidR="00EE0E4F"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Undang-Undang Republik Indonesia Nomor 12 Tahun 2022 tentang Tindak Pidana Kekerasan Seksual.</w:t>
      </w:r>
    </w:p>
    <w:p w14:paraId="1D83C954" w14:textId="77777777" w:rsidR="00EE0E4F"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Undang-Undang Republik Indonesia Nomor 1 Tahun 2023 tentang Kitab Undang-Undang Hukum Pidana.</w:t>
      </w:r>
    </w:p>
    <w:p w14:paraId="63CF6A90" w14:textId="77777777" w:rsidR="00EE0E4F"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Undang-Undang Republik Indonesia Nomor 20 Tahun 2025 tentang Hukum Acara Pidana.</w:t>
      </w:r>
    </w:p>
    <w:p w14:paraId="2738085B" w14:textId="77777777" w:rsidR="00EE0E4F"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Walker, L. E. (1979). </w:t>
      </w:r>
      <w:r>
        <w:rPr>
          <w:rFonts w:cs="Segoe UI"/>
          <w:i/>
          <w:iCs/>
          <w:noProof/>
        </w:rPr>
        <w:t>The battered woman</w:t>
      </w:r>
      <w:r>
        <w:rPr>
          <w:rFonts w:cs="Segoe UI"/>
          <w:noProof/>
        </w:rPr>
        <w:t>. Harper &amp; Row.</w:t>
      </w:r>
    </w:p>
    <w:p w14:paraId="2BA55012" w14:textId="77777777" w:rsidR="003A4408" w:rsidRPr="003A4408" w:rsidRDefault="003A4408" w:rsidP="003A4408">
      <w:pPr>
        <w:spacing w:line="240" w:lineRule="auto"/>
        <w:ind w:left="1418" w:right="645" w:hanging="851"/>
        <w:rPr>
          <w:rFonts w:cs="Segoe UI"/>
        </w:rPr>
      </w:pP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38181" w14:textId="77777777" w:rsidR="005816F9" w:rsidRDefault="005816F9" w:rsidP="009B0AF6">
      <w:pPr>
        <w:spacing w:after="0" w:line="240" w:lineRule="auto"/>
      </w:pPr>
      <w:r>
        <w:separator/>
      </w:r>
    </w:p>
  </w:endnote>
  <w:endnote w:type="continuationSeparator" w:id="0">
    <w:p w14:paraId="1943C82F" w14:textId="77777777" w:rsidR="005816F9" w:rsidRDefault="005816F9"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4F184EAD" w14:textId="31B7377C"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2D6A6F">
          <w:rPr>
            <w:rFonts w:cs="Segoe UI"/>
            <w:noProof/>
            <w:sz w:val="18"/>
            <w:szCs w:val="18"/>
            <w:lang w:val="fi-FI"/>
          </w:rPr>
          <w:t>Nemos Muhadar</w:t>
        </w:r>
      </w:p>
      <w:p w14:paraId="728F2A9F"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5E825" w14:textId="77777777" w:rsidR="005816F9" w:rsidRDefault="005816F9" w:rsidP="009B0AF6">
      <w:pPr>
        <w:spacing w:after="0" w:line="240" w:lineRule="auto"/>
      </w:pPr>
      <w:r>
        <w:separator/>
      </w:r>
    </w:p>
  </w:footnote>
  <w:footnote w:type="continuationSeparator" w:id="0">
    <w:p w14:paraId="3C8A843C" w14:textId="77777777" w:rsidR="005816F9" w:rsidRDefault="005816F9"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D0463"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8F2B9"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A6F"/>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16F9"/>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3835"/>
    <w:rsid w:val="00EA7010"/>
    <w:rsid w:val="00EA7E75"/>
    <w:rsid w:val="00EB308B"/>
    <w:rsid w:val="00ED73C9"/>
    <w:rsid w:val="00EE0E4F"/>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BC271"/>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6425</Words>
  <Characters>36626</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5</cp:revision>
  <cp:lastPrinted>2023-04-17T18:59:00Z</cp:lastPrinted>
  <dcterms:created xsi:type="dcterms:W3CDTF">2026-01-24T05:16:00Z</dcterms:created>
  <dcterms:modified xsi:type="dcterms:W3CDTF">2026-08-14T06:25:00Z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