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DAE6"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8B662B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07F643C1"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0D91F000"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32B0DBE9" w14:textId="77777777" w:rsidR="0010607A" w:rsidRDefault="00886EB8" w:rsidP="00E109A4">
      <w:pPr>
        <w:spacing w:after="0" w:line="240" w:lineRule="auto"/>
        <w:jc w:val="center"/>
        <w:rPr>
          <w:rFonts w:cs="Segoe UI"/>
          <w:b/>
        </w:rPr>
      </w:pPr>
      <w:r>
        <w:rPr>
          <w:rFonts w:cs="Segoe UI"/>
          <w:b/>
        </w:rPr>
        <w:t>Universitas Kristen Indonesia Paulus</w:t>
      </w:r>
    </w:p>
    <w:p w14:paraId="45F13E0E"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52E672B5"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DCB5880"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2D0F2308" w14:textId="77777777" w:rsidR="00676A1B" w:rsidRPr="005F3706" w:rsidRDefault="006F20C0" w:rsidP="00100027">
      <w:pPr>
        <w:tabs>
          <w:tab w:val="right" w:pos="9026"/>
        </w:tabs>
        <w:spacing w:after="0" w:line="240" w:lineRule="auto"/>
        <w:jc w:val="center"/>
        <w:rPr>
          <w:rFonts w:cs="Segoe UI"/>
          <w:b/>
          <w:sz w:val="30"/>
          <w:szCs w:val="30"/>
          <w:lang w:val="sv-SE"/>
        </w:rPr>
      </w:pPr>
      <w:r>
        <w:rPr>
          <w:rFonts w:cs="Segoe UI"/>
          <w:b/>
          <w:bCs/>
          <w:sz w:val="30"/>
          <w:szCs w:val="30"/>
          <w:lang w:val="id"/>
        </w:rPr>
        <w:t>Pengaturan Hukum Tindak Pidana Desersi dalam Hukum Pidana Militer: Faktor Penyebab dan Strategi Penanggulangan</w:t>
      </w:r>
    </w:p>
    <w:p w14:paraId="38BFBF8D" w14:textId="77777777" w:rsidR="00100027" w:rsidRPr="005F3706" w:rsidRDefault="00100027" w:rsidP="007677D4">
      <w:pPr>
        <w:tabs>
          <w:tab w:val="right" w:pos="9026"/>
        </w:tabs>
        <w:spacing w:after="0" w:line="240" w:lineRule="auto"/>
        <w:jc w:val="left"/>
        <w:rPr>
          <w:rFonts w:cs="Segoe UI"/>
          <w:i/>
          <w:sz w:val="24"/>
          <w:szCs w:val="20"/>
          <w:lang w:val="sv-SE"/>
        </w:rPr>
      </w:pPr>
    </w:p>
    <w:p w14:paraId="2F244F4D" w14:textId="77777777" w:rsidR="00361A98" w:rsidRPr="00C676AF" w:rsidRDefault="00361A98" w:rsidP="00676A1B">
      <w:pPr>
        <w:tabs>
          <w:tab w:val="right" w:pos="9026"/>
        </w:tabs>
        <w:spacing w:after="0" w:line="240" w:lineRule="auto"/>
        <w:rPr>
          <w:rFonts w:cs="Segoe UI"/>
          <w:sz w:val="20"/>
          <w:szCs w:val="20"/>
        </w:rPr>
      </w:pPr>
    </w:p>
    <w:p w14:paraId="1F0316F7" w14:textId="77777777"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RR Eko Widy Astuty Sumanto</w:t>
      </w:r>
      <w:r>
        <w:rPr>
          <w:rFonts w:cs="Segoe UI"/>
          <w:b/>
          <w:bCs/>
          <w:sz w:val="24"/>
          <w:szCs w:val="24"/>
          <w:vertAlign w:val="superscript"/>
          <w:lang w:val="fi-FI"/>
        </w:rPr>
        <w:t>1*</w:t>
      </w:r>
    </w:p>
    <w:p w14:paraId="5494BAFA"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68D5D9F7" w14:textId="6454751B" w:rsidR="00BE12F5" w:rsidRPr="007677D4" w:rsidRDefault="00BE7B7C" w:rsidP="00241D17">
      <w:pPr>
        <w:tabs>
          <w:tab w:val="right" w:pos="9026"/>
        </w:tabs>
        <w:spacing w:after="0" w:line="240" w:lineRule="auto"/>
        <w:rPr>
          <w:rFonts w:cs="Segoe UI"/>
          <w:i/>
          <w:sz w:val="18"/>
          <w:szCs w:val="18"/>
          <w:lang w:val="en-US"/>
        </w:rPr>
      </w:pPr>
      <w:r w:rsidRPr="00BE7B7C">
        <w:rPr>
          <w:rFonts w:cs="Segoe UI"/>
          <w:i/>
          <w:sz w:val="18"/>
          <w:szCs w:val="18"/>
          <w:lang w:val="fi-FI"/>
        </w:rPr>
        <w:t>ekowidy333@gmail.com</w:t>
      </w:r>
      <w:r w:rsidR="006F20C0">
        <w:rPr>
          <w:rFonts w:cs="Segoe UI"/>
          <w:i/>
          <w:sz w:val="18"/>
          <w:szCs w:val="18"/>
          <w:lang w:val="fi-FI"/>
        </w:rPr>
        <w:t xml:space="preserve"> </w:t>
      </w:r>
      <w:r w:rsidR="006F20C0">
        <w:rPr>
          <w:rFonts w:cs="Segoe UI"/>
          <w:i/>
          <w:sz w:val="18"/>
          <w:szCs w:val="18"/>
          <w:lang w:val="en-US"/>
        </w:rPr>
        <w:t>(Korespondensi)*</w:t>
      </w:r>
    </w:p>
    <w:p w14:paraId="6F17CE11"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45E5A2D0" w14:textId="77777777" w:rsidTr="00550BFE">
        <w:trPr>
          <w:trHeight w:val="189"/>
        </w:trPr>
        <w:tc>
          <w:tcPr>
            <w:tcW w:w="1171" w:type="pct"/>
            <w:tcBorders>
              <w:top w:val="single" w:sz="4" w:space="0" w:color="auto"/>
              <w:bottom w:val="single" w:sz="4" w:space="0" w:color="auto"/>
            </w:tcBorders>
          </w:tcPr>
          <w:p w14:paraId="7F494D3F"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3A255975"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70DED223" w14:textId="77777777" w:rsidTr="00550BFE">
        <w:trPr>
          <w:trHeight w:val="1678"/>
        </w:trPr>
        <w:tc>
          <w:tcPr>
            <w:tcW w:w="1171" w:type="pct"/>
            <w:tcBorders>
              <w:top w:val="single" w:sz="4" w:space="0" w:color="auto"/>
              <w:bottom w:val="single" w:sz="4" w:space="0" w:color="auto"/>
            </w:tcBorders>
          </w:tcPr>
          <w:p w14:paraId="15A3E014"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4AD822ED" w14:textId="77777777"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desertion, military criminal law, military discipline, military court, criminal law reform, crime prevention</w:t>
            </w:r>
          </w:p>
          <w:p w14:paraId="60C0B8C2" w14:textId="77777777" w:rsidR="001E0508" w:rsidRPr="00332E82" w:rsidRDefault="001E0508" w:rsidP="00417363">
            <w:pPr>
              <w:spacing w:after="0" w:line="240" w:lineRule="auto"/>
              <w:rPr>
                <w:rFonts w:eastAsia="Times New Roman" w:cs="Segoe UI"/>
                <w:b/>
                <w:iCs/>
                <w:color w:val="181717"/>
                <w:sz w:val="20"/>
                <w:szCs w:val="20"/>
                <w:lang w:val="en-US"/>
              </w:rPr>
            </w:pPr>
          </w:p>
          <w:p w14:paraId="5C7CE26F"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E07B51C" w14:textId="77777777"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desersi, hukum pidana militer, disiplin prajurit, peradilan militer, pembaruan hukum pidana, penanggulangan kejahatan</w:t>
            </w:r>
          </w:p>
        </w:tc>
        <w:tc>
          <w:tcPr>
            <w:tcW w:w="3829" w:type="pct"/>
            <w:tcBorders>
              <w:top w:val="single" w:sz="4" w:space="0" w:color="auto"/>
              <w:bottom w:val="single" w:sz="4" w:space="0" w:color="auto"/>
            </w:tcBorders>
          </w:tcPr>
          <w:p w14:paraId="48BBC585" w14:textId="77777777"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Desertion remains the most frequently adjudicated purely military offence in Indonesia and directly erodes unit readiness, discipline, and public trust in the armed forces. This study examines the legal regulation of desertion under Indonesian military criminal law, identifies the factors causing it, and formulates strategies for its prevention. The research combines normative and empirical juridical methods within the jurisdiction of Military Court III-16 Makassar, employing statutory, conceptual, and sociological approaches; data were gathered through interviews, questionnaires, and documentary study of court decisions, then analysed qualitatively. The findings show, first, that desertion is a purely military offence (zuiver militair delict) regulated in Article 87 of the Military Criminal Code in two forms, namely genuine desertion and desertion as an escalation of unauthorised absence, supported by procedural instruments including trial in absentia and dishonourable discharge as an additional penalty. Second, the causes are both internal, such as low legal awareness, weak mental resilience, and economic pressure, and external, such as family problems, unit conditions, and permissive social environments. Third, prevention requires an integrated pre-emptive, preventive, repressive, and rehabilitative strategy. The study also argues that the new National Criminal Code and Criminal Procedure Code require systematic harmonisation of military criminal law.</w:t>
            </w:r>
          </w:p>
          <w:p w14:paraId="66954AB1" w14:textId="77777777" w:rsidR="001E0508" w:rsidRPr="00C676AF" w:rsidRDefault="001E0508" w:rsidP="001E0508">
            <w:pPr>
              <w:spacing w:after="0" w:line="240" w:lineRule="auto"/>
              <w:rPr>
                <w:rFonts w:eastAsia="Times New Roman" w:cs="Segoe UI"/>
                <w:sz w:val="20"/>
                <w:szCs w:val="20"/>
              </w:rPr>
            </w:pPr>
          </w:p>
          <w:p w14:paraId="085F5E2B" w14:textId="77777777" w:rsidR="00886EB8" w:rsidRDefault="00886EB8" w:rsidP="001E0508">
            <w:pPr>
              <w:spacing w:after="0" w:line="240" w:lineRule="auto"/>
              <w:rPr>
                <w:rFonts w:eastAsia="Times New Roman" w:cs="Segoe UI"/>
                <w:b/>
                <w:iCs/>
                <w:sz w:val="20"/>
                <w:szCs w:val="20"/>
              </w:rPr>
            </w:pPr>
          </w:p>
          <w:p w14:paraId="4DAC4062" w14:textId="7777777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Desersi merupakan tindak pidana militer murni yang paling banyak diadili di Indonesia dan berdampak langsung pada kesiapsiagaan satuan, disiplin prajurit, serta kepercayaan publik terhadap TNI. Penelitian ini bertujuan mengkaji pengaturan hukum tindak pidana desersi dalam hukum pidana militer, mengidentifikasi faktor penyebabnya, dan merumuskan strategi penanggulangannya. Penelitian menggunakan metode yuridis normatif yang dipadukan dengan yuridis empiris pada wilayah hukum Pengadilan Militer III-16 Makassar, dengan pendekatan perundang-undangan, konseptual, dan sosiologis; data dikumpulkan melalui wawancara, </w:t>
            </w:r>
            <w:r>
              <w:rPr>
                <w:rFonts w:cs="Segoe UI"/>
                <w:color w:val="000000"/>
                <w:sz w:val="20"/>
                <w:szCs w:val="20"/>
                <w:shd w:val="clear" w:color="auto" w:fill="FFFFFF"/>
              </w:rPr>
              <w:lastRenderedPageBreak/>
              <w:t>penyebaran angket, dan studi dokumen putusan, kemudian dianalisis secara kualitatif. Hasil penelitian menunjukkan, pertama, desersi merupakan tindak pidana militer murni (zuiver militair delict) yang diatur dalam Pasal 87 Kitab Undang-Undang Hukum Pidana Militer dalam dua bentuk, yaitu desersi murni dan desersi sebagai peningkatan dari ketidakhadiran tanpa izin, ditopang instrumen prosedural berupa pemeriksaan in absentia dan pemberhentian tidak dengan hormat sebagai pidana tambahan. Kedua, faktor penyebabnya bersumber dari dalam diri prajurit maupun dari luar, meliputi rendahnya kesadaran hukum, lemahnya ketahanan mental, tekanan ekonomi, persoalan keluarga, kondisi satuan, dan lingkungan sosial yang permisif. Ketiga, penanggulangan menuntut keterpaduan langkah pre-emtif, preventif, represif, dan rehabilitatif. Penelitian menegaskan perlunya harmonisasi hukum pidana militer dengan KUHP dan KUHAP baru secara sistemik.</w:t>
            </w:r>
          </w:p>
          <w:p w14:paraId="642EC23F" w14:textId="77777777" w:rsidR="001E0508" w:rsidRPr="005F3706" w:rsidRDefault="001E0508" w:rsidP="001E0508">
            <w:pPr>
              <w:spacing w:after="0" w:line="240" w:lineRule="auto"/>
              <w:rPr>
                <w:rFonts w:eastAsia="Times New Roman" w:cs="Segoe UI"/>
                <w:iCs/>
                <w:sz w:val="20"/>
                <w:szCs w:val="20"/>
              </w:rPr>
            </w:pPr>
          </w:p>
        </w:tc>
      </w:tr>
      <w:tr w:rsidR="00241D17" w:rsidRPr="00C676AF" w14:paraId="6FFC5F6A" w14:textId="77777777" w:rsidTr="00550BFE">
        <w:trPr>
          <w:trHeight w:val="161"/>
        </w:trPr>
        <w:tc>
          <w:tcPr>
            <w:tcW w:w="5000" w:type="pct"/>
            <w:gridSpan w:val="2"/>
            <w:tcBorders>
              <w:top w:val="single" w:sz="4" w:space="0" w:color="auto"/>
              <w:bottom w:val="single" w:sz="4" w:space="0" w:color="auto"/>
            </w:tcBorders>
          </w:tcPr>
          <w:p w14:paraId="2F306E18" w14:textId="28DE02D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xml:space="preserve">:  </w:t>
            </w:r>
            <w:r w:rsidR="005F3706">
              <w:rPr>
                <w:rFonts w:cs="Segoe UI"/>
                <w:sz w:val="20"/>
                <w:szCs w:val="20"/>
              </w:rPr>
              <w:t>Diterima: ……………, Disetujui: ……………, Dipublikasikan: …………… (diisi oleh panitia)</w:t>
            </w:r>
          </w:p>
        </w:tc>
      </w:tr>
    </w:tbl>
    <w:p w14:paraId="3FE55766"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5C56C17D" w14:textId="77777777" w:rsidR="00C80A24" w:rsidRDefault="00000000">
      <w:pPr>
        <w:pStyle w:val="Heading3"/>
        <w:ind w:left="1134" w:right="322" w:hanging="425"/>
      </w:pPr>
      <w:r>
        <w:t>PENDAHULUAN</w:t>
      </w:r>
    </w:p>
    <w:p w14:paraId="0749C5A9"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Tentara Nasional Indonesia dibentuk sebagai alat negara di bidang pertahanan yang bertugas menegakkan kedaulatan negara, mempertahankan keutuhan wilayah Negara Kesatuan Republik Indonesia, dan melindungi keselamatan segenap bangsa. Tugas konstitusional tersebut menuntut kesiapsiagaan yang tidak terputus, sehingga kehadiran prajurit pada satuannya bukan sekadar kewajiban administratif, melainkan prasyarat bagi berfungsinya sistem pertahanan negara (Undang-Undang Nomor 34 Tahun 2004; Undang-Undang Nomor 3 Tahun 2002). Karakter tugas inilah yang menempatkan disiplin sebagai nilai inti kehidupan keprajuritan, sebagaimana terkandung dalam Sapta Marga, Sumpah Prajurit, dan Delapan Wajib TNI.</w:t>
      </w:r>
    </w:p>
    <w:p w14:paraId="3430916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Kekhususan kehidupan militer melahirkan konsekuensi normatif yang tidak dikenal dalam masyarakat sipil. Perbuatan meninggalkan pekerjaan tanpa izin dalam hubungan kerja perdata hanya berimplikasi administratif, sedangkan bagi prajurit yang dipersenjatai dan terikat rantai komando, ketidakhadiran tanpa izin dapat berkembang menjadi kejahatan yang diancam pidana penjara. Disiplin militer karena itu tidak dapat dipahami sebagai persoalan etika internal semata; kesatuan militer tanpa disiplin, sebagaimana ditegaskan Salam (2006), tidak berbeda dengan gerombolan bersenjata yang justru membahayakan masyarakat dan negara.</w:t>
      </w:r>
    </w:p>
    <w:p w14:paraId="4647E2CE"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Dalam sistematika hukum pidana, ketentuan yang mengatur perilaku prajurit tergolong hukum pidana khusus berdasarkan subjeknya. Hukum pidana militer dalam arti materiil dan formil merupakan bagian hukum positif yang berlaku bagi justisiabel peradilan militer, yang menentukan perbuatan terlarang, syarat pertanggungjawaban, serta cara penuntutan dan pelaksanaan pidananya (Sianturi, 2010). Kekhususan tersebut tidak meniadakan berlakunya asas-asas hukum pidana umum, melainkan menempatkannya sebagai landasan yang dilengkapi ketentuan khas militer.</w:t>
      </w:r>
    </w:p>
    <w:p w14:paraId="4ED4DB5E"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Di antara berbagai tindak pidana militer, desersi menempati posisi paling strategis karena menyerang langsung inti kewajiban keprajuritan, yaitu kehadiran dan ketaatan. Kitab Undang-Undang Hukum Pidana Militer mengatur desersi dalam Pasal 87 dengan ancaman pidana penjara yang lebih berat pada waktu perang, dan menempatkannya dalam rangkaian delik ketidakhadiran tanpa izin yang diatur pada Pasal 85 sampai dengan Pasal 89 (Undang-Undang Nomor 39 Tahun 1947). Konstruksi berjenjang tersebut menunjukkan bahwa pembentuk undang-undang </w:t>
      </w:r>
      <w:r>
        <w:rPr>
          <w:rStyle w:val="longtext"/>
          <w:rFonts w:ascii="Segoe UI" w:hAnsi="Segoe UI" w:cs="Segoe UI"/>
          <w:sz w:val="22"/>
          <w:szCs w:val="22"/>
          <w:shd w:val="clear" w:color="auto" w:fill="FFFFFF"/>
          <w:lang w:val="id-ID"/>
        </w:rPr>
        <w:lastRenderedPageBreak/>
        <w:t>memandang desersi sebagai puncak dari rangkaian pengingkaran kewajiban dinas, bukan sebagai peristiwa yang berdiri sendiri.</w:t>
      </w:r>
    </w:p>
    <w:p w14:paraId="56F0798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Persoalannya, tingginya frekuensi perkara desersi memperlihatkan bahwa ancaman pidana belum sepenuhnya berfungsi sebagai sarana pencegahan. Penelitian ini berangkat dari kondisi di wilayah hukum Pengadilan Militer III-16 Makassar, yang meliputi satuan-satuan di jajaran Kodam XIV/Hasanuddin, Lantamal VI, dan Koopsau II, dengan pertimbangan bahwa wilayah tersebut termasuk kategori tinggi dalam jumlah perkara desersi prajurit. Fakta empiris di lapangan menunjukkan bahwa pelanggaran tidak semata-mata lahir dari niat jahat, melainkan juga dari akumulasi persoalan personal, keluarga, ekonomi, dan pembinaan satuan yang tidak tertangani sejak dini.</w:t>
      </w:r>
    </w:p>
    <w:p w14:paraId="6272AB05"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Persoalan tersebut diperberat oleh dua karakter khas penanganan perkara desersi. Pertama, sebagian besar terdakwa tidak diketahui keberadaannya sehingga perkara diperiksa dan diputus tanpa kehadiran terdakwa, yang membuat proses peradilan berjalan tanpa kesempatan menggali motif dan latar belakang perbuatan. Kedua, penjatuhan pidana pokok kerap disertai pidana tambahan berupa pemberhentian tidak dengan hormat dari dinas militer, sehingga putusan berakhir pada pemutusan hubungan prajurit dengan institusi, bukan pada pemulihan disiplin. Kedua karakter tersebut menjelaskan mengapa penegakan hukum terhadap desersi cenderung bersifat administratif-penyelesaian perkara, bukan korektif-pembinaan.</w:t>
      </w:r>
    </w:p>
    <w:p w14:paraId="6417D880"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Konteks kelembagaan penelitian ini juga bergerak. Undang-Undang Nomor 3 Tahun 2025 mengubah beberapa ketentuan Undang-Undang Nomor 34 Tahun 2004 tentang Tentara Nasional Indonesia, sementara pembaruan hukum pidana nasional melalui Undang-Undang Nomor 1 Tahun 2023 dan Undang-Undang Nomor 20 Tahun 2025 mengubah asas, aturan umum, dan hukum acara yang selama ini menjadi rujukan pelengkap bagi peradilan militer. Perubahan tersebut tidak menghapus kedudukan Kitab Undang-Undang Hukum Pidana Militer sebagai ketentuan khusus, tetapi menempatkannya dalam lingkungan normatif yang berbeda dari saat ketentuan itu dibentuk pada tahun 1947. Situasi inilah yang menjadikan kajian mengenai desersi tidak dapat lagi berhenti pada penafsiran pasal, melainkan harus dikaitkan dengan arah pembaruan sistem pemidanaan nasional.</w:t>
      </w:r>
    </w:p>
    <w:p w14:paraId="01D97FBE"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Kajian mengenai hukum pidana militer di Indonesia selama ini banyak berfokus pada aspek doktrinal, yakni penggolongan tindak pidana militer murni dan campuran serta unsur-unsur Pasal 87 Kitab Undang-Undang Hukum Pidana Militer (Sianturi, 2010; Salam, 2006; Syarif, 1996). Kajian lain menyoroti aspek kelembagaan peradilan militer dan kewenangan penyidikan berdasarkan Undang-Undang Nomor 31 Tahun 1997. Sementara itu, literatur kebijakan hukum pidana menekankan bahwa penanggulangan kejahatan tidak dapat bertumpu pada sarana penal semata, melainkan harus dipadukan dengan sarana nonpenal (Arief, 2018), dan bahwa efektivitas penegakan hukum ditentukan oleh faktor perundang-undangan, aparat, sarana, masyarakat, dan budaya hukum (Soekanto, 2019).</w:t>
      </w:r>
    </w:p>
    <w:p w14:paraId="10065C51"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Berbeda dengan penelitian terdahulu yang menempatkan ketiga bidang kajian tersebut secara terpisah, penelitian ini menitikberatkan pada perangkaian analisis normatif Pasal 87 Kitab Undang-Undang Hukum Pidana Militer dengan temuan lapangan mengenai faktor penyebab desersi dan rumusan strategi penanggulangannya dalam satu kerangka. Kebaruan penelitian juga terletak pada penempatan isu desersi dalam konteks pembaruan hukum pidana nasional, yakni berlakunya Undang-Undang Nomor 1 Tahun 2023 tentang Kitab Undang-Undang Hukum Pidana pada Januari 2026 dan Undang-Undang Nomor 20 Tahun 2025 tentang Hukum Acara Pidana, serta perubahan Undang-Undang tentang Tentara Nasional Indonesia melalui Undang-Undang </w:t>
      </w:r>
      <w:r>
        <w:rPr>
          <w:rStyle w:val="longtext"/>
          <w:rFonts w:ascii="Segoe UI" w:hAnsi="Segoe UI" w:cs="Segoe UI"/>
          <w:sz w:val="22"/>
          <w:szCs w:val="22"/>
          <w:shd w:val="clear" w:color="auto" w:fill="FFFFFF"/>
          <w:lang w:val="id-ID"/>
        </w:rPr>
        <w:lastRenderedPageBreak/>
        <w:t>Nomor 3 Tahun 2025, yang seluruhnya berdampak pada arsitektur hukum pidana militer namun belum banyak dianalisis dalam kajian desersi.</w:t>
      </w:r>
    </w:p>
    <w:p w14:paraId="5F103D0F"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uraian tersebut, penelitian ini bertujuan menjelaskan pengaturan hukum tindak pidana desersi dalam hukum pidana militer, mengidentifikasi faktor-faktor penyebab terjadinya desersi, dan merumuskan bentuk-bentuk penanggulangannya. Secara teoretis, penelitian ini memperkaya kajian hukum pidana militer dengan menautkan analisis norma dan temuan kriminologis mengenai sebab-sebab perbuatan. Secara praktis, penelitian ini menawarkan rujukan bagi komandan satuan selaku atasan yang berhak menghukum, penyidik Polisi Militer, oditur, dan hakim militer dalam mendesain penanganan perkara desersi yang tidak berhenti pada penjatuhan pidana, tetapi juga memperkuat pembinaan disiplin prajurit.</w:t>
      </w:r>
    </w:p>
    <w:p w14:paraId="0D034AAF" w14:textId="77777777" w:rsidR="00C80A24" w:rsidRDefault="00000000">
      <w:pPr>
        <w:pStyle w:val="Heading3"/>
        <w:ind w:left="1134" w:right="322" w:hanging="425"/>
      </w:pPr>
      <w:r>
        <w:t>METODOLOGI PENELITIAN</w:t>
      </w:r>
    </w:p>
    <w:p w14:paraId="5254D412" w14:textId="77777777" w:rsidR="00C80A24" w:rsidRDefault="00000000">
      <w:pPr>
        <w:pStyle w:val="Heading2"/>
        <w:rPr>
          <w:shd w:val="clear" w:color="auto" w:fill="FFFFFF"/>
        </w:rPr>
      </w:pPr>
      <w:r>
        <w:rPr>
          <w:shd w:val="clear" w:color="auto" w:fill="FFFFFF"/>
        </w:rPr>
        <w:t>2.1 Jenis dan Sifat Penelitian</w:t>
      </w:r>
    </w:p>
    <w:p w14:paraId="1B588EBB"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merupakan penelitian hukum yang memadukan pendekatan yuridis normatif dan yuridis empiris dengan sifat deskriptif-analitis. Dimensi normatif diarahkan pada penelaahan norma yang mengatur tindak pidana desersi beserta asas-asas hukum pidana militer yang melandasinya, sedangkan dimensi empiris diarahkan pada penelusuran kondisi nyata pada satuan-satuan militer dan lembaga peradilan militer. Perpaduan tersebut diperlukan karena rumusan masalah penelitian tidak hanya menyangkut isi norma, tetapi juga sebab-sebab perbuatan dan bekerjanya hukum dalam praktik pembinaan prajurit.</w:t>
      </w:r>
    </w:p>
    <w:p w14:paraId="2F686DC2"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Rumusan masalah yang dijawab meliputi tiga hal, yaitu bagaimana pengaturan hukum tentang desersi dalam hukum pidana militer, faktor-faktor apa yang menyebabkan terjadinya desersi, dan bagaimana bentuk-bentuk penanggulangan desersi. Ketiga rumusan tersebut menentukan struktur analisis pada bagian hasil dan pembahasan sehingga setiap temuan dapat ditelusuri kembali pada pertanyaan penelitian yang melatarinya.</w:t>
      </w:r>
    </w:p>
    <w:p w14:paraId="54476C70" w14:textId="77777777" w:rsidR="00C80A24" w:rsidRDefault="00000000">
      <w:pPr>
        <w:pStyle w:val="Heading2"/>
        <w:rPr>
          <w:shd w:val="clear" w:color="auto" w:fill="FFFFFF"/>
        </w:rPr>
      </w:pPr>
      <w:r>
        <w:rPr>
          <w:shd w:val="clear" w:color="auto" w:fill="FFFFFF"/>
        </w:rPr>
        <w:t>2.2 Lokasi Penelitian</w:t>
      </w:r>
    </w:p>
    <w:p w14:paraId="5317F108"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dilaksanakan di wilayah hukum Pengadilan Militer III-16 Makassar, yang meliputi satuan-satuan di jajaran Kodam XIV/Hasanuddin, Lantamal VI, dan Koopsau II. Penelusuran data dilakukan pada Pengadilan Militer III-16 Makassar, Oditurat Militer, Kemasyarakatan Militer Makassar, serta bagian hukum satuan terkait. Pemilihan lokasi didasarkan pada pertimbangan bahwa wilayah tersebut termasuk kategori tinggi dalam jumlah perkara desersi sehingga dipandang representatif untuk memperoleh data yang relevan. Perlu dicatat bahwa Komando Daerah Militer yang membawahi wilayah penelitian sebelumnya bernama Kodam VII/Wirabuana; penyebutan Kodam XIV/Hasanuddin dalam artikel ini mengikuti nomenklatur yang berlaku setelah perubahan organisasi.</w:t>
      </w:r>
    </w:p>
    <w:p w14:paraId="5886B2C5" w14:textId="77777777" w:rsidR="00C80A24" w:rsidRDefault="00000000">
      <w:pPr>
        <w:pStyle w:val="Heading2"/>
        <w:rPr>
          <w:shd w:val="clear" w:color="auto" w:fill="FFFFFF"/>
        </w:rPr>
      </w:pPr>
      <w:r>
        <w:rPr>
          <w:shd w:val="clear" w:color="auto" w:fill="FFFFFF"/>
        </w:rPr>
        <w:t>2.3 Pendekatan Penelitian</w:t>
      </w:r>
    </w:p>
    <w:p w14:paraId="42851AD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Penelitian menggunakan tiga pendekatan yang saling melengkapi. Pendekatan perundang-undangan digunakan untuk menelaah Kitab Undang-Undang Hukum Pidana Militer, Undang-Undang Nomor 31 Tahun 1997 tentang Peradilan Militer, Undang-Undang Nomor 25 Tahun 2014 tentang Hukum Disiplin Militer, Undang-Undang Nomor 34 Tahun 2004 tentang Tentara Nasional Indonesia beserta perubahannya melalui Undang-Undang Nomor 3 Tahun 2025, serta Undang-Undang Nomor 1 Tahun 2023 tentang Kitab Undang-Undang Hukum Pidana dan Undang-Undang Nomor 20 Tahun 2025 tentang Hukum Acara Pidana sepanjang berkaitan dengan justisiabel peradilan militer. Pendekatan konseptual digunakan untuk menguji doktrin tindak pidana militer </w:t>
      </w:r>
      <w:r>
        <w:rPr>
          <w:rStyle w:val="longtext"/>
          <w:rFonts w:ascii="Segoe UI" w:hAnsi="Segoe UI" w:cs="Segoe UI"/>
          <w:sz w:val="22"/>
          <w:szCs w:val="22"/>
          <w:shd w:val="clear" w:color="auto" w:fill="FFFFFF"/>
          <w:lang w:val="id-ID"/>
        </w:rPr>
        <w:lastRenderedPageBreak/>
        <w:t>murni dan campuran serta konsep kesadaran hukum dan disiplin prajurit. Pendekatan sosiologis digunakan untuk mengamati kondisi nyata kehidupan satuan yang melatarbelakangi terjadinya desersi.</w:t>
      </w:r>
    </w:p>
    <w:p w14:paraId="07646E53" w14:textId="77777777" w:rsidR="00C80A24" w:rsidRDefault="00000000">
      <w:pPr>
        <w:pStyle w:val="Heading2"/>
        <w:rPr>
          <w:shd w:val="clear" w:color="auto" w:fill="FFFFFF"/>
        </w:rPr>
      </w:pPr>
      <w:r>
        <w:rPr>
          <w:shd w:val="clear" w:color="auto" w:fill="FFFFFF"/>
        </w:rPr>
        <w:t>2.4 Sumber, Jenis, dan Teknik Pengumpulan Data</w:t>
      </w:r>
    </w:p>
    <w:p w14:paraId="32E9180E"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Data primer diperoleh langsung di lapangan melalui wawancara dan penyebaran angket. Wawancara ditujukan kepada unsur pengadilan militer, oditurat militer, kemasyarakatan militer, dan pejabat hukum satuan, serta kepada terpidana perkara desersi yang sedang menjalani pidana dan anggota yang telah kembali berdinas setelah menjalani pidana; keluarga terdakwa turut diwawancarai untuk memperoleh gambaran latar belakang sosial perbuatan. Angket disebarkan kepada prajurit pada satuan-satuan di wilayah hukum Pengadilan Militer III-16 Makassar dengan pemilihan responden berdasarkan golongan kepangkatan, guna mengukur tingkat pengetahuan hukum prajurit mengenai delik desersi. Data sekunder diperoleh melalui studi kepustakaan terhadap buku ilmiah hukum dan peraturan perundang-undangan, serta studi dokumen terhadap putusan Pengadilan Militer III-16 Makassar dalam perkara desersi.</w:t>
      </w:r>
    </w:p>
    <w:p w14:paraId="334CA9E1" w14:textId="77777777" w:rsidR="00C80A24" w:rsidRDefault="00000000">
      <w:pPr>
        <w:pStyle w:val="Heading2"/>
        <w:rPr>
          <w:shd w:val="clear" w:color="auto" w:fill="FFFFFF"/>
        </w:rPr>
      </w:pPr>
      <w:r>
        <w:rPr>
          <w:shd w:val="clear" w:color="auto" w:fill="FFFFFF"/>
        </w:rPr>
        <w:t>2.5 Teknik Analisis Data</w:t>
      </w:r>
    </w:p>
    <w:p w14:paraId="1F1DD995"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Data yang terkumpul diseleksi dan diklasifikasikan secara sistematis sesuai pokok permasalahan dan tujuan penelitian, kemudian dianalisis secara kualitatif. Analisis normatif dilakukan melalui penafsiran gramatikal dan sistematis terhadap unsur-unsur Pasal 87 Kitab Undang-Undang Hukum Pidana Militer serta hubungannya dengan Pasal 85 sampai dengan Pasal 89 dan ketentuan hukum acara peradilan militer. Data lapangan diperlakukan sebagai bahan penjelas atas bekerjanya norma, dan dianalisis dengan kerangka faktor-faktor yang memengaruhi penegakan hukum, yaitu faktor perundang-undangan, aparat penegak hukum, sarana dan prasarana, masyarakat, serta kebudayaan (Soekanto, 2019). Hasil kedua jalur analisis kemudian disintesiskan untuk merumuskan strategi penanggulangan.</w:t>
      </w:r>
    </w:p>
    <w:p w14:paraId="5730EF7C" w14:textId="77777777" w:rsidR="00C80A24" w:rsidRDefault="00000000">
      <w:pPr>
        <w:pStyle w:val="Heading2"/>
        <w:rPr>
          <w:shd w:val="clear" w:color="auto" w:fill="FFFFFF"/>
        </w:rPr>
      </w:pPr>
      <w:r>
        <w:rPr>
          <w:shd w:val="clear" w:color="auto" w:fill="FFFFFF"/>
        </w:rPr>
        <w:t>2.6 Keterbatasan Penelitian</w:t>
      </w:r>
    </w:p>
    <w:p w14:paraId="0B605765"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memiliki keterbatasan yang perlu ditegaskan agar simpulan dibaca secara proporsional. Ruang lingkup wilayah penelitian terbatas pada satu wilayah hukum pengadilan militer sehingga temuan tidak dimaksudkan untuk digeneralisasi ke seluruh Indonesia. Data lapangan bersifat kualitatif dan tidak diolah secara statistik inferensial, sehingga artikel ini tidak menyajikan angka-angka perbandingan frekuensi perkara. Sebagian informasi juga menyangkut data kedinasan yang bersifat terbatas sehingga penyajiannya dilakukan secara deskriptif tanpa memuat identitas responden dan terdakwa.</w:t>
      </w:r>
    </w:p>
    <w:p w14:paraId="0A056E06" w14:textId="77777777" w:rsidR="00C80A24" w:rsidRDefault="00000000">
      <w:pPr>
        <w:pStyle w:val="Heading2"/>
        <w:rPr>
          <w:shd w:val="clear" w:color="auto" w:fill="FFFFFF"/>
        </w:rPr>
      </w:pPr>
      <w:r>
        <w:rPr>
          <w:shd w:val="clear" w:color="auto" w:fill="FFFFFF"/>
        </w:rPr>
        <w:t>2.7 Kerangka Teoretis Analisis</w:t>
      </w:r>
    </w:p>
    <w:p w14:paraId="0D5A95BA"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Analisis dalam penelitian ini bertumpu pada tiga kerangka teoretis yang saling melengkapi. Pertama, teori tujuan pemidanaan digunakan untuk menilai orientasi penjatuhan pidana terhadap pelaku desersi, khususnya ketegangan antara pembalasan, pencegahan, dan pembinaan (Muladi &amp; Arief, 2010). Dalam konteks militer, ketegangan tersebut memperoleh warna khusus karena pemidanaan tidak hanya ditujukan pada pelaku, melainkan juga berfungsi menjaga tegaknya disiplin satuan secara keseluruhan.</w:t>
      </w:r>
    </w:p>
    <w:p w14:paraId="672EC73A"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Kedua, teori kebijakan hukum pidana digunakan untuk menilai pilihan sarana penanggulangan, yakni sejauh mana penanggulangan desersi dapat diserahkan pada sarana penal dan sejauh mana harus ditopang sarana nonpenal berupa pembinaan, pengawasan, dan penyuluhan hukum (Arief, 2018). Ketiga, kerangka faktor-faktor yang memengaruhi penegakan hukum digunakan untuk membaca kesenjangan antara norma dan praktik, dengan memeriksa </w:t>
      </w:r>
      <w:r>
        <w:rPr>
          <w:rStyle w:val="longtext"/>
          <w:rFonts w:ascii="Segoe UI" w:hAnsi="Segoe UI" w:cs="Segoe UI"/>
          <w:sz w:val="22"/>
          <w:szCs w:val="22"/>
          <w:shd w:val="clear" w:color="auto" w:fill="FFFFFF"/>
          <w:lang w:val="id-ID"/>
        </w:rPr>
        <w:lastRenderedPageBreak/>
        <w:t>peran substansi hukum, aparat, sarana, masyarakat, dan budaya hukum (Soekanto, 2019). Adapun asas-asas hukum pidana umum, khususnya asas legalitas dan asas tiada pidana tanpa kesalahan, digunakan sebagai penguji konsistensi penafsiran unsur delik (Moeljatno, 2015).</w:t>
      </w:r>
    </w:p>
    <w:p w14:paraId="089DE0ED" w14:textId="77777777" w:rsidR="00C80A24" w:rsidRDefault="00000000">
      <w:pPr>
        <w:pStyle w:val="Heading2"/>
        <w:rPr>
          <w:shd w:val="clear" w:color="auto" w:fill="FFFFFF"/>
        </w:rPr>
      </w:pPr>
      <w:r>
        <w:rPr>
          <w:shd w:val="clear" w:color="auto" w:fill="FFFFFF"/>
        </w:rPr>
        <w:t>2.8 Prosedur Pengolahan dan Validasi Data</w:t>
      </w:r>
    </w:p>
    <w:p w14:paraId="2BCAAA4F"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Pengolahan data dilakukan melalui empat tahap. Tahap pertama adalah reduksi, yaitu memilah keterangan dan dokumen yang berkaitan langsung dengan ketiga rumusan masalah. Tahap kedua adalah klasifikasi, yaitu mengelompokkan data ke dalam kategori pengaturan norma, faktor penyebab, dan bentuk penanggulangan. Tahap ketiga adalah penyajian data secara naratif dan tabuler agar hubungan antarketentuan dan antartemuan dapat dibaca secara sistematis. Tahap keempat adalah penarikan simpulan yang diuji ulang terhadap bahan hukum primer.</w:t>
      </w:r>
    </w:p>
    <w:p w14:paraId="18F453BF"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Validasi dilakukan melalui triangulasi sumber, yaitu membandingkan keterangan dari unsur pengadilan militer, oditurat, kemasyarakatan militer, dan satuan, dengan dokumen putusan serta ketentuan perundang-undangan yang berlaku. Keterangan yang tidak dapat dikonfirmasikan melalui sumber lain atau dokumen resmi tidak digunakan sebagai dasar simpulan. Rumusan pasal yang dikutip diverifikasi terhadap teks resmi peraturan untuk menghindari kekeliruan penyebutan nomor pasal, ayat, maupun nomenklatur undang-undang, mengingat sebagian literatur hukum pidana militer masih memuat rujukan yang belum diperbarui.</w:t>
      </w:r>
    </w:p>
    <w:p w14:paraId="703D7EF4" w14:textId="77777777" w:rsidR="00C80A24" w:rsidRDefault="00000000">
      <w:pPr>
        <w:pStyle w:val="Heading3"/>
        <w:ind w:left="1134" w:right="322" w:hanging="425"/>
      </w:pPr>
      <w:r>
        <w:t>HASIL DAN PEMBAHASAN</w:t>
      </w:r>
    </w:p>
    <w:p w14:paraId="023C5C2B" w14:textId="77777777" w:rsidR="00C80A24" w:rsidRDefault="00000000">
      <w:pPr>
        <w:pStyle w:val="Heading2"/>
        <w:rPr>
          <w:shd w:val="clear" w:color="auto" w:fill="FFFFFF"/>
        </w:rPr>
      </w:pPr>
      <w:r>
        <w:rPr>
          <w:shd w:val="clear" w:color="auto" w:fill="FFFFFF"/>
        </w:rPr>
        <w:t>3.1 Kedudukan Desersi dalam Sistematika Hukum Pidana Militer</w:t>
      </w:r>
    </w:p>
    <w:p w14:paraId="60A8851B"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pertama menegaskan bahwa desersi hanya dapat dipahami secara tepat apabila ditempatkan dalam sistematika hukum pidana khusus berdasarkan subjeknya. Hukum pidana khusus dapat dibedakan berdasarkan materi yang diaturnya, seperti tindak pidana korupsi, narkotika, dan ekonomi, serta berdasarkan subjek yang dituju, yakni golongan militer dan mereka yang dipersamakan dengannya. Hukum pidana militer termasuk kategori kedua, yaitu bagian hukum positif yang berlaku bagi justisiabel peradilan militer (Sianturi, 2010). Konsekuensinya, seorang prajurit tidak hanya tunduk pada Kitab Undang-Undang Hukum Pidana Militer, tetapi juga pada hukum pidana umum, kecuali ditentukan lain.</w:t>
      </w:r>
    </w:p>
    <w:p w14:paraId="3C075273"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Dalam sistematika tersebut, tindak pidana militer dibedakan menjadi tindak pidana militer murni (zuiver militair delict) dan tindak pidana militer campuran (gemengde militair delict). Tindak pidana militer murni adalah perbuatan yang pada prinsipnya hanya mungkin dilakukan oleh seorang militer karena keadaannya yang bersifat khusus. Adapun tindak pidana militer campuran adalah perbuatan yang pada pokoknya telah diatur dalam peraturan lain, tetapi diatur kembali dalam Kitab Undang-Undang Hukum Pidana Militer karena adanya keadaan khas militer yang menuntut ancaman pidana lebih berat (Sianturi, 2010; Salam, 2006).</w:t>
      </w:r>
    </w:p>
    <w:p w14:paraId="7FF2D6FF"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penggolongan tersebut, desersi tergolong tindak pidana militer murni. Secara yuridis, kualifikasi ini memiliki implikasi yang sering luput dari perhatian. Karena perbuatannya hanya dapat dilakukan oleh subjek berkualitas militer, unsur kesalahan dalam desersi tidak dapat dinilai dengan ukuran masyarakat sipil; yang dilanggar bukan kepentingan hukum individu, melainkan kepentingan hukum kesiapsiagaan satuan dan tegaknya rantai komando. Menurut analisis penulis, pemahaman inilah yang menjelaskan mengapa pembentuk undang-undang mengancam desersi dengan pidana penjara meskipun pada hakikatnya perbuatan tersebut berupa ketidakhadiran, yaitu suatu perbuatan pasif.</w:t>
      </w:r>
    </w:p>
    <w:p w14:paraId="222EF0F2" w14:textId="77777777" w:rsidR="00C80A24" w:rsidRDefault="00000000">
      <w:pPr>
        <w:pStyle w:val="Heading2"/>
        <w:rPr>
          <w:shd w:val="clear" w:color="auto" w:fill="FFFFFF"/>
        </w:rPr>
      </w:pPr>
      <w:r>
        <w:rPr>
          <w:shd w:val="clear" w:color="auto" w:fill="FFFFFF"/>
        </w:rPr>
        <w:lastRenderedPageBreak/>
        <w:t>3.2 Konstruksi Norma Pasal 87 KUHPM dan Delik Ketidakhadiran Tanpa Izin</w:t>
      </w:r>
    </w:p>
    <w:p w14:paraId="7DDE3493"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Pasal 87 ayat (1) Kitab Undang-Undang Hukum Pidana Militer mengancam pidana bagi militer yang pergi dengan maksud menarik diri untuk selamanya dari kewajiban dinas, menghindari bahaya perang, menyeberang ke musuh, atau memasuki dinas militer negara lain tanpa dibenarkan; bagi yang karena salahnya atau dengan sengaja tidak hadir tanpa izin lebih lama dari tiga puluh hari pada waktu damai atau empat hari pada waktu perang; serta bagi yang dengan sengaja tidak hadir sehingga tidak mengikuti sebagian atau seluruh perjalanan yang diperintahkan. Ancaman pidananya penjara maksimum dua tahun delapan bulan pada waktu damai dan delapan tahun enam bulan pada waktu perang (Undang-Undang Nomor 39 Tahun 1947).</w:t>
      </w:r>
    </w:p>
    <w:p w14:paraId="5093E23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Dari rumusan tersebut dapat dianalisis adanya dua bentuk kejahatan desersi, yaitu desersi murni sebagaimana dimaksud Pasal 87 ayat (1) ke-1 dan desersi sebagai kelanjutan atau peningkatan dari kejahatan ketidakhadiran tanpa izin sebagaimana dimaksud Pasal 87 ayat (1) ke-2 dan ke-3. Pembedaan ini bukan sekadar klasifikasi akademik, melainkan menentukan titik berat pembuktian. Pada bentuk pertama, unsur pokok yang harus dibuktikan adalah maksud menarik diri untuk selamanya dari kewajiban dinas, yakni unsur batin yang harus disimpulkan dari rangkaian perbuatan. Pada bentuk kedua, unsur pokoknya adalah terlampauinya tenggang waktu ketidakhadiran, yakni unsur objektif yang lebih mudah dibuktikan.</w:t>
      </w:r>
    </w:p>
    <w:p w14:paraId="545B1B4C"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Konstruksi berjenjang tersebut menjadi jelas apabila Pasal 87 dibaca bersama delik ketidakhadiran tanpa izin pada Pasal 85 sampai dengan Pasal 89. Perbandingan pokok ketentuan tersebut disajikan pada Tabel 1.</w:t>
      </w:r>
    </w:p>
    <w:p w14:paraId="463303FB" w14:textId="77777777" w:rsidR="00C80A24"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1.</w:t>
      </w:r>
      <w:r>
        <w:rPr>
          <w:rFonts w:eastAsia="Constantia" w:cs="Segoe UI"/>
          <w:sz w:val="20"/>
          <w:szCs w:val="20"/>
        </w:rPr>
        <w:t xml:space="preserve"> Konstruksi Berjenjang Delik Ketidakhadiran Tanpa Izin dan Desersi dalam Kitab Undang-Undang Hukum Pidana Militer</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0BCC46EA" w14:textId="77777777" w:rsidTr="006F0069">
        <w:trPr>
          <w:tblHeader/>
          <w:tblCellSpacing w:w="15" w:type="dxa"/>
          <w:jc w:val="center"/>
        </w:trPr>
        <w:tc>
          <w:tcPr>
            <w:tcW w:w="1470" w:type="dxa"/>
            <w:tcBorders>
              <w:top w:val="single" w:sz="4" w:space="0" w:color="auto"/>
              <w:bottom w:val="single" w:sz="4" w:space="0" w:color="auto"/>
            </w:tcBorders>
            <w:vAlign w:val="center"/>
          </w:tcPr>
          <w:p w14:paraId="2E2C9810"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Kualifikasi</w:t>
            </w:r>
          </w:p>
        </w:tc>
        <w:tc>
          <w:tcPr>
            <w:tcW w:w="2070" w:type="dxa"/>
            <w:tcBorders>
              <w:top w:val="single" w:sz="4" w:space="0" w:color="auto"/>
              <w:bottom w:val="single" w:sz="4" w:space="0" w:color="auto"/>
            </w:tcBorders>
            <w:vAlign w:val="center"/>
          </w:tcPr>
          <w:p w14:paraId="7FD27C85"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Inti Perbuatan</w:t>
            </w:r>
          </w:p>
        </w:tc>
        <w:tc>
          <w:tcPr>
            <w:tcW w:w="1870" w:type="dxa"/>
            <w:tcBorders>
              <w:top w:val="single" w:sz="4" w:space="0" w:color="auto"/>
              <w:bottom w:val="single" w:sz="4" w:space="0" w:color="auto"/>
            </w:tcBorders>
            <w:vAlign w:val="center"/>
          </w:tcPr>
          <w:p w14:paraId="48FFEAEF"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Ukuran Pembeda</w:t>
            </w:r>
          </w:p>
        </w:tc>
        <w:tc>
          <w:tcPr>
            <w:tcW w:w="1870" w:type="dxa"/>
            <w:tcBorders>
              <w:top w:val="single" w:sz="4" w:space="0" w:color="auto"/>
              <w:bottom w:val="single" w:sz="4" w:space="0" w:color="auto"/>
            </w:tcBorders>
            <w:vAlign w:val="center"/>
          </w:tcPr>
          <w:p w14:paraId="1CE4ACF7"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Titik Berat Pembuktian</w:t>
            </w:r>
          </w:p>
        </w:tc>
      </w:tr>
      <w:tr w:rsidR="006F0069" w:rsidRPr="006F0069" w14:paraId="63170577" w14:textId="77777777" w:rsidTr="006F0069">
        <w:trPr>
          <w:tblCellSpacing w:w="15" w:type="dxa"/>
          <w:jc w:val="center"/>
        </w:trPr>
        <w:tc>
          <w:tcPr>
            <w:tcW w:w="1470" w:type="dxa"/>
            <w:vAlign w:val="center"/>
          </w:tcPr>
          <w:p w14:paraId="36C947EA"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Ketidakhadiran tanpa izin (Pasal 85)</w:t>
            </w:r>
          </w:p>
        </w:tc>
        <w:tc>
          <w:tcPr>
            <w:tcW w:w="2070" w:type="dxa"/>
            <w:vAlign w:val="center"/>
          </w:tcPr>
          <w:p w14:paraId="62D8ABBB"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Meninggalkan dinas tanpa izin dalam tenggang waktu tertentu</w:t>
            </w:r>
          </w:p>
        </w:tc>
        <w:tc>
          <w:tcPr>
            <w:tcW w:w="1870" w:type="dxa"/>
            <w:vAlign w:val="center"/>
          </w:tcPr>
          <w:p w14:paraId="2D4108F7"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Lamanya ketidakhadiran belum melampaui batas desersi</w:t>
            </w:r>
          </w:p>
        </w:tc>
        <w:tc>
          <w:tcPr>
            <w:tcW w:w="1870" w:type="dxa"/>
            <w:vAlign w:val="center"/>
          </w:tcPr>
          <w:p w14:paraId="3301B204"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Unsur objektif berupa lama waktu dan tidak adanya izin</w:t>
            </w:r>
          </w:p>
        </w:tc>
      </w:tr>
      <w:tr w:rsidR="006F0069" w:rsidRPr="006F0069" w14:paraId="18380B31" w14:textId="77777777" w:rsidTr="006F0069">
        <w:trPr>
          <w:tblCellSpacing w:w="15" w:type="dxa"/>
          <w:jc w:val="center"/>
        </w:trPr>
        <w:tc>
          <w:tcPr>
            <w:tcW w:w="1470" w:type="dxa"/>
            <w:vAlign w:val="center"/>
          </w:tcPr>
          <w:p w14:paraId="0539810C"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Desersi murni (Pasal 87 ayat (1) ke-1)</w:t>
            </w:r>
          </w:p>
        </w:tc>
        <w:tc>
          <w:tcPr>
            <w:tcW w:w="2070" w:type="dxa"/>
            <w:vAlign w:val="center"/>
          </w:tcPr>
          <w:p w14:paraId="0A186289"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Pergi dengan maksud menarik diri untuk selamanya dari kewajiban dinas</w:t>
            </w:r>
          </w:p>
        </w:tc>
        <w:tc>
          <w:tcPr>
            <w:tcW w:w="1870" w:type="dxa"/>
            <w:vAlign w:val="center"/>
          </w:tcPr>
          <w:p w14:paraId="6488C595"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Adanya maksud meninggalkan dinas secara permanen</w:t>
            </w:r>
          </w:p>
        </w:tc>
        <w:tc>
          <w:tcPr>
            <w:tcW w:w="1870" w:type="dxa"/>
            <w:vAlign w:val="center"/>
          </w:tcPr>
          <w:p w14:paraId="6E10DE96"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Unsur batin, disimpulkan dari rangkaian perbuatan dan keadaan</w:t>
            </w:r>
          </w:p>
        </w:tc>
      </w:tr>
      <w:tr w:rsidR="006F0069" w:rsidRPr="006F0069" w14:paraId="41ABEFA5" w14:textId="77777777" w:rsidTr="006F0069">
        <w:trPr>
          <w:tblCellSpacing w:w="15" w:type="dxa"/>
          <w:jc w:val="center"/>
        </w:trPr>
        <w:tc>
          <w:tcPr>
            <w:tcW w:w="1470" w:type="dxa"/>
            <w:vAlign w:val="center"/>
          </w:tcPr>
          <w:p w14:paraId="39122374"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Desersi sebagai peningkatan (Pasal 87 ayat (1) ke-2)</w:t>
            </w:r>
          </w:p>
        </w:tc>
        <w:tc>
          <w:tcPr>
            <w:tcW w:w="2070" w:type="dxa"/>
            <w:vAlign w:val="center"/>
          </w:tcPr>
          <w:p w14:paraId="07E6EC04"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Ketidakhadiran tanpa izin melampaui tenggang waktu yang ditentukan</w:t>
            </w:r>
          </w:p>
        </w:tc>
        <w:tc>
          <w:tcPr>
            <w:tcW w:w="1870" w:type="dxa"/>
            <w:vAlign w:val="center"/>
          </w:tcPr>
          <w:p w14:paraId="40F904E2"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Lebih dari tiga puluh hari pada waktu damai; lebih dari empat hari pada waktu perang</w:t>
            </w:r>
          </w:p>
        </w:tc>
        <w:tc>
          <w:tcPr>
            <w:tcW w:w="1870" w:type="dxa"/>
            <w:vAlign w:val="center"/>
          </w:tcPr>
          <w:p w14:paraId="2C3D2B1E"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Unsur objektif berupa terlampauinya tenggang waktu</w:t>
            </w:r>
          </w:p>
        </w:tc>
      </w:tr>
      <w:tr w:rsidR="006F0069" w:rsidRPr="006F0069" w14:paraId="36174AF9" w14:textId="77777777" w:rsidTr="006F0069">
        <w:trPr>
          <w:tblCellSpacing w:w="15" w:type="dxa"/>
          <w:jc w:val="center"/>
        </w:trPr>
        <w:tc>
          <w:tcPr>
            <w:tcW w:w="1470" w:type="dxa"/>
            <w:vAlign w:val="center"/>
          </w:tcPr>
          <w:p w14:paraId="7C156D4C"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Desersi terkait perjalanan dinas (Pasal 87 ayat (1) ke-3)</w:t>
            </w:r>
          </w:p>
        </w:tc>
        <w:tc>
          <w:tcPr>
            <w:tcW w:w="2070" w:type="dxa"/>
            <w:vAlign w:val="center"/>
          </w:tcPr>
          <w:p w14:paraId="5D0EED13"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Tidak mengikuti sebagian atau seluruh perjalanan yang diperintahkan</w:t>
            </w:r>
          </w:p>
        </w:tc>
        <w:tc>
          <w:tcPr>
            <w:tcW w:w="1870" w:type="dxa"/>
            <w:vAlign w:val="center"/>
          </w:tcPr>
          <w:p w14:paraId="20A9E478"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Keterkaitan dengan perintah perjalanan satuan</w:t>
            </w:r>
          </w:p>
        </w:tc>
        <w:tc>
          <w:tcPr>
            <w:tcW w:w="1870" w:type="dxa"/>
            <w:vAlign w:val="center"/>
          </w:tcPr>
          <w:p w14:paraId="30AE9F05"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Adanya perintah dinas dan kesengajaan tidak mengikutinya</w:t>
            </w:r>
          </w:p>
        </w:tc>
      </w:tr>
      <w:tr w:rsidR="006F0069" w:rsidRPr="006F0069" w14:paraId="7CF26E9D" w14:textId="77777777" w:rsidTr="006F0069">
        <w:trPr>
          <w:tblCellSpacing w:w="15" w:type="dxa"/>
          <w:jc w:val="center"/>
        </w:trPr>
        <w:tc>
          <w:tcPr>
            <w:tcW w:w="1470" w:type="dxa"/>
            <w:tcBorders>
              <w:bottom w:val="single" w:sz="4" w:space="0" w:color="auto"/>
            </w:tcBorders>
            <w:vAlign w:val="center"/>
          </w:tcPr>
          <w:p w14:paraId="36A4093A"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Pemberatan keadaan perang (Pasal 87 ayat (3))</w:t>
            </w:r>
          </w:p>
        </w:tc>
        <w:tc>
          <w:tcPr>
            <w:tcW w:w="2070" w:type="dxa"/>
            <w:tcBorders>
              <w:bottom w:val="single" w:sz="4" w:space="0" w:color="auto"/>
            </w:tcBorders>
            <w:vAlign w:val="center"/>
          </w:tcPr>
          <w:p w14:paraId="4E02B695"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Desersi yang dilakukan dalam waktu perang</w:t>
            </w:r>
          </w:p>
        </w:tc>
        <w:tc>
          <w:tcPr>
            <w:tcW w:w="1870" w:type="dxa"/>
            <w:tcBorders>
              <w:bottom w:val="single" w:sz="4" w:space="0" w:color="auto"/>
            </w:tcBorders>
            <w:vAlign w:val="center"/>
          </w:tcPr>
          <w:p w14:paraId="59235B07"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Situasi perang sebagai keadaan yang memberatkan</w:t>
            </w:r>
          </w:p>
        </w:tc>
        <w:tc>
          <w:tcPr>
            <w:tcW w:w="1870" w:type="dxa"/>
            <w:tcBorders>
              <w:bottom w:val="single" w:sz="4" w:space="0" w:color="auto"/>
            </w:tcBorders>
            <w:vAlign w:val="center"/>
          </w:tcPr>
          <w:p w14:paraId="3C6800C6"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Status keadaan perang dan waktu terjadinya perbuatan</w:t>
            </w:r>
          </w:p>
        </w:tc>
      </w:tr>
    </w:tbl>
    <w:p w14:paraId="7B8A7032" w14:textId="77777777" w:rsidR="00C80A24"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lastRenderedPageBreak/>
        <w:t xml:space="preserve">              Sumber: Diolah penulis dari Undang-Undang Nomor 39 Tahun 1947 (2026)</w:t>
      </w:r>
    </w:p>
    <w:p w14:paraId="08FF356A" w14:textId="77777777" w:rsidR="00C80A24" w:rsidRPr="005F3706" w:rsidRDefault="00C80A24">
      <w:pPr>
        <w:pStyle w:val="IEEEParagraph"/>
        <w:rPr>
          <w:lang w:val="id-ID"/>
        </w:rPr>
      </w:pPr>
    </w:p>
    <w:p w14:paraId="41B0D1B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1 memperlihatkan bahwa pembentuk undang-undang membangun gradasi antara ketidakhadiran biasa dan desersi melalui dua ukuran, yaitu maksud pelaku dan lamanya waktu. Jika dikaitkan dengan asas legalitas dan kepastian hukum, penggunaan ukuran waktu pada bentuk kedua merupakan pilihan kebijakan legislasi yang memudahkan pembuktian, tetapi menyimpan konsekuensi berupa kemungkinan seorang prajurit dikualifikasi melakukan desersi meskipun tidak berniat meninggalkan dinas selamanya. Temuan tersebut memperlihatkan pentingnya pertimbangan hakim mengenai motif dan keadaan yang melatarbelakangi ketidakhadiran sebagai dasar penilaian berat ringannya pidana, sekalipun kualifikasi deliknya telah terpenuhi secara formal.</w:t>
      </w:r>
    </w:p>
    <w:p w14:paraId="376B1C46"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Dimensi kedua pengaturan desersi terletak pada hukum acaranya. Undang-Undang Nomor 31 Tahun 1997 menempatkan kewenangan penyidikan terhadap prajurit pada atasan yang berhak menghukum, Polisi Militer, dan oditur militer, serta menyediakan mekanisme penyerahan perkara oleh perwira penyerah perkara. Undang-undang tersebut juga memungkinkan perkara desersi diperiksa dan diputus tanpa hadirnya terdakwa ketika yang bersangkutan tidak diketahui keberadaannya, suatu kekhususan yang lahir dari kebutuhan menjaga kepastian status prajurit dan ketertiban administrasi satuan.</w:t>
      </w:r>
    </w:p>
    <w:p w14:paraId="2328706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Namun demikian, pemeriksaan tanpa kehadiran terdakwa menimbulkan persoalan dari perspektif keadilan. Terdakwa kehilangan kesempatan menyampaikan pembelaan, sementara pengadilan kehilangan akses pada keterangan yang justru paling menjelaskan sebab perbuatan. Menurut analisis penulis, keadaan inilah yang menjelaskan mengapa putusan perkara desersi cenderung seragam dan berorientasi pada penyelesaian status hukum, yakni pidana pokok disertai pidana tambahan pemberhentian tidak dengan hormat, tanpa menyentuh akar persoalan yang menyebabkan prajurit meninggalkan satuannya.</w:t>
      </w:r>
    </w:p>
    <w:p w14:paraId="616C605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Dimensi ketiga adalah hubungan antara hukum pidana militer dan hukum disiplin militer. Undang-Undang Nomor 25 Tahun 2014 tentang Hukum Disiplin Militer menyediakan jalur penyelesaian nonpenal terhadap pelanggaran disiplin, termasuk ketidakhadiran yang belum memenuhi kualifikasi desersi. Berdasarkan konstruksi tersebut, terdapat ruang bagi komandan satuan untuk mengoreksi perilaku prajurit sebelum perbuatan berkembang menjadi tindak pidana; keterlambatan pelaporan dan lemahnya pembinaan pada tahap ini secara tidak langsung berkontribusi pada meningkatnya perkara desersi.</w:t>
      </w:r>
    </w:p>
    <w:p w14:paraId="15B8529B"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Dimensi keempat menyangkut posisi hukum pidana militer dalam pembaruan hukum pidana nasional. Berlakunya Undang-Undang Nomor 1 Tahun 2023 pada Januari 2026 membawa perubahan asas dan aturan umum yang pada prinsipnya berlaku pula bagi tindak pidana di luar Kitab Undang-Undang Hukum Pidana sepanjang tidak ditentukan lain, sementara Undang-Undang Nomor 20 Tahun 2025 menggeser hukum acara umum yang menjadi rujukan pelengkap peradilan militer. Keadaan ini menuntut harmonisasi sistemik, bukan penyesuaian parsial, agar tidak timbul perbedaan standar pemidanaan atas perbuatan yang secara substansial sebanding.</w:t>
      </w:r>
    </w:p>
    <w:p w14:paraId="5B45C0D9" w14:textId="77777777" w:rsidR="00C80A24" w:rsidRDefault="00000000">
      <w:pPr>
        <w:pStyle w:val="Heading2"/>
        <w:rPr>
          <w:shd w:val="clear" w:color="auto" w:fill="FFFFFF"/>
        </w:rPr>
      </w:pPr>
      <w:r>
        <w:rPr>
          <w:shd w:val="clear" w:color="auto" w:fill="FFFFFF"/>
        </w:rPr>
        <w:t>3.3 Faktor-Faktor Penyebab Terjadinya Desersi</w:t>
      </w:r>
    </w:p>
    <w:p w14:paraId="1E043C0C"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Faktor eksternal mencakup persoalan keluarga seperti konflik rumah tangga dan tanggungan yang tidak terselesaikan, tekanan ekonomi, jarak dan keterbatasan kesempatan cuti, pembinaan satuan yang kurang responsif terhadap masalah personal anggota, serta lingkungan sosial yang permisif. Wawancara terhadap terpidana dan anggota yang telah kembali berdinas menunjukkan pola berulang: perbuatan diawali ketidakhadiran singkat karena urusan keluarga, </w:t>
      </w:r>
      <w:r>
        <w:rPr>
          <w:rStyle w:val="longtext"/>
          <w:rFonts w:ascii="Segoe UI" w:hAnsi="Segoe UI" w:cs="Segoe UI"/>
          <w:sz w:val="22"/>
          <w:szCs w:val="22"/>
          <w:shd w:val="clear" w:color="auto" w:fill="FFFFFF"/>
          <w:lang w:val="id-ID"/>
        </w:rPr>
        <w:lastRenderedPageBreak/>
        <w:t>berkembang menjadi berlarut-larut karena kekhawatiran menghadapi sanksi, hingga melampaui tenggang waktu dan berubah kualifikasi menjadi desersi.</w:t>
      </w:r>
    </w:p>
    <w:p w14:paraId="23804B76"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Jika dikaitkan dengan kerangka faktor-faktor yang memengaruhi penegakan hukum, pola tersebut memperlihatkan bekerjanya beberapa faktor secara bersamaan (Soekanto, 2019). Ukuran waktu yang tegas justru menciptakan titik balik yang menakutkan bagi prajurit yang telanjur tidak hadir; keterlambatan pelaporan dan pembinaan membuat masa ketidakhadiran berjalan tanpa intervensi; sedangkan anggapan bahwa kembali ke satuan berarti pasti dipidana mendorong prajurit terus menghindar. Menurut analisis penulis, di sinilah persoalan pokoknya: sistem yang ada lebih siap menghukum perbuatan yang telah selesai daripada menghentikan perbuatan yang sedang berlangsung.</w:t>
      </w:r>
    </w:p>
    <w:p w14:paraId="0BDBC310"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tersebut memperlihatkan bahwa desersi tidak selalu berupa penolakan sadar terhadap institusi, melainkan sering merupakan akumulasi persoalan personal yang tidak tertangani. Konsekuensinya, pendekatan yang semata-mata bertumpu pada beratnya ancaman pidana tidak akan efektif karena tidak menyentuh sebab yang bekerja pada tahap awal perbuatan (Arief, 2018).</w:t>
      </w:r>
    </w:p>
    <w:p w14:paraId="08D70473"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tersebut memperlihatkan bahwa desersi tidak selalu berupa penolakan sadar terhadap institusi, melainkan sering merupakan akumulasi persoalan personal yang tidak tertangani. Konsekuensi teoretisnya, pendekatan yang semata-mata bertumpu pada beratnya ancaman pidana tidak akan efektif karena ancaman tersebut tidak menyentuh sebab yang bekerja pada tahap awal perbuatan. Hal tersebut sejalan dengan pandangan bahwa penanggulangan kejahatan melalui sarana penal memiliki keterbatasan struktural dan harus dipadukan dengan sarana nonpenal yang bekerja pada akar persoalan (Arief, 2018).</w:t>
      </w:r>
    </w:p>
    <w:p w14:paraId="3BD255C4" w14:textId="77777777" w:rsidR="00C80A24" w:rsidRDefault="00000000">
      <w:pPr>
        <w:pStyle w:val="Heading2"/>
        <w:rPr>
          <w:shd w:val="clear" w:color="auto" w:fill="FFFFFF"/>
        </w:rPr>
      </w:pPr>
      <w:r>
        <w:rPr>
          <w:shd w:val="clear" w:color="auto" w:fill="FFFFFF"/>
        </w:rPr>
        <w:t>3.4 Bentuk-Bentuk Penanggulangan Desersi</w:t>
      </w:r>
    </w:p>
    <w:p w14:paraId="0F311D91"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analisis atas norma dan faktor penyebab, penanggulangan desersi dirumuskan sebagai satu rangkaian yang bekerja pada tahap yang berbeda, bukan sebagai pilihan yang saling menggantikan. Rangkaian tersebut disajikan pada Tabel 2.</w:t>
      </w:r>
    </w:p>
    <w:p w14:paraId="6A480396" w14:textId="77777777" w:rsidR="00C80A24"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2.</w:t>
      </w:r>
      <w:r>
        <w:rPr>
          <w:rFonts w:eastAsia="Constantia" w:cs="Segoe UI"/>
          <w:sz w:val="20"/>
          <w:szCs w:val="20"/>
        </w:rPr>
        <w:t xml:space="preserve"> Strategi Penanggulangan Tindak Pidana Desersi Berdasarkan Tahap Bekerjanya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714DCA94" w14:textId="77777777" w:rsidTr="006F0069">
        <w:trPr>
          <w:tblHeader/>
          <w:tblCellSpacing w:w="15" w:type="dxa"/>
          <w:jc w:val="center"/>
        </w:trPr>
        <w:tc>
          <w:tcPr>
            <w:tcW w:w="1470" w:type="dxa"/>
            <w:tcBorders>
              <w:top w:val="single" w:sz="4" w:space="0" w:color="auto"/>
              <w:bottom w:val="single" w:sz="4" w:space="0" w:color="auto"/>
            </w:tcBorders>
            <w:vAlign w:val="center"/>
          </w:tcPr>
          <w:p w14:paraId="67BE8F5F"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Tahap</w:t>
            </w:r>
          </w:p>
        </w:tc>
        <w:tc>
          <w:tcPr>
            <w:tcW w:w="2070" w:type="dxa"/>
            <w:tcBorders>
              <w:top w:val="single" w:sz="4" w:space="0" w:color="auto"/>
              <w:bottom w:val="single" w:sz="4" w:space="0" w:color="auto"/>
            </w:tcBorders>
            <w:vAlign w:val="center"/>
          </w:tcPr>
          <w:p w14:paraId="148F0F59"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Sasaran</w:t>
            </w:r>
          </w:p>
        </w:tc>
        <w:tc>
          <w:tcPr>
            <w:tcW w:w="1870" w:type="dxa"/>
            <w:tcBorders>
              <w:top w:val="single" w:sz="4" w:space="0" w:color="auto"/>
              <w:bottom w:val="single" w:sz="4" w:space="0" w:color="auto"/>
            </w:tcBorders>
            <w:vAlign w:val="center"/>
          </w:tcPr>
          <w:p w14:paraId="4F4C8905"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Bentuk Kegiatan</w:t>
            </w:r>
          </w:p>
        </w:tc>
        <w:tc>
          <w:tcPr>
            <w:tcW w:w="1870" w:type="dxa"/>
            <w:tcBorders>
              <w:top w:val="single" w:sz="4" w:space="0" w:color="auto"/>
              <w:bottom w:val="single" w:sz="4" w:space="0" w:color="auto"/>
            </w:tcBorders>
            <w:vAlign w:val="center"/>
          </w:tcPr>
          <w:p w14:paraId="46316DCA" w14:textId="77777777" w:rsidR="00C80A24"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Pelaksana Utama</w:t>
            </w:r>
          </w:p>
        </w:tc>
      </w:tr>
      <w:tr w:rsidR="006F0069" w:rsidRPr="006F0069" w14:paraId="5281B621" w14:textId="77777777" w:rsidTr="006F0069">
        <w:trPr>
          <w:tblCellSpacing w:w="15" w:type="dxa"/>
          <w:jc w:val="center"/>
        </w:trPr>
        <w:tc>
          <w:tcPr>
            <w:tcW w:w="1470" w:type="dxa"/>
            <w:vAlign w:val="center"/>
          </w:tcPr>
          <w:p w14:paraId="506174B2"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Pre-emtif</w:t>
            </w:r>
          </w:p>
        </w:tc>
        <w:tc>
          <w:tcPr>
            <w:tcW w:w="2070" w:type="dxa"/>
            <w:vAlign w:val="center"/>
          </w:tcPr>
          <w:p w14:paraId="45C69DEA"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Menghilangkan niat melakukan perbuatan</w:t>
            </w:r>
          </w:p>
        </w:tc>
        <w:tc>
          <w:tcPr>
            <w:tcW w:w="1870" w:type="dxa"/>
            <w:vAlign w:val="center"/>
          </w:tcPr>
          <w:p w14:paraId="6FA4FE42"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Pembinaan mental, rohani, dan tradisi kejuangan; penyuluhan hukum berkala mengenai delik ketidakhadiran dan desersi</w:t>
            </w:r>
          </w:p>
        </w:tc>
        <w:tc>
          <w:tcPr>
            <w:tcW w:w="1870" w:type="dxa"/>
            <w:vAlign w:val="center"/>
          </w:tcPr>
          <w:p w14:paraId="27BB2B88"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Komandan satuan, pembina mental, bagian hukum satuan</w:t>
            </w:r>
          </w:p>
        </w:tc>
      </w:tr>
      <w:tr w:rsidR="006F0069" w:rsidRPr="006F0069" w14:paraId="21270C2B" w14:textId="77777777" w:rsidTr="006F0069">
        <w:trPr>
          <w:tblCellSpacing w:w="15" w:type="dxa"/>
          <w:jc w:val="center"/>
        </w:trPr>
        <w:tc>
          <w:tcPr>
            <w:tcW w:w="1470" w:type="dxa"/>
            <w:vAlign w:val="center"/>
          </w:tcPr>
          <w:p w14:paraId="5534F2E5"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Preventif</w:t>
            </w:r>
          </w:p>
        </w:tc>
        <w:tc>
          <w:tcPr>
            <w:tcW w:w="2070" w:type="dxa"/>
            <w:vAlign w:val="center"/>
          </w:tcPr>
          <w:p w14:paraId="6B570C09"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Menutup kesempatan dan menghentikan perbuatan pada tahap awal</w:t>
            </w:r>
          </w:p>
        </w:tc>
        <w:tc>
          <w:tcPr>
            <w:tcW w:w="1870" w:type="dxa"/>
            <w:vAlign w:val="center"/>
          </w:tcPr>
          <w:p w14:paraId="0575B51A"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Pengawasan kehadiran harian, penanganan cepat izin dan cuti, pendampingan masalah keluarga dan ekonomi, pelaporan ketidakhadiran secara dini</w:t>
            </w:r>
          </w:p>
        </w:tc>
        <w:tc>
          <w:tcPr>
            <w:tcW w:w="1870" w:type="dxa"/>
            <w:vAlign w:val="center"/>
          </w:tcPr>
          <w:p w14:paraId="0FB1556E"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Atasan langsung, atasan yang berhak menghukum, Polisi Militer</w:t>
            </w:r>
          </w:p>
        </w:tc>
      </w:tr>
      <w:tr w:rsidR="006F0069" w:rsidRPr="006F0069" w14:paraId="3BF38707" w14:textId="77777777" w:rsidTr="006F0069">
        <w:trPr>
          <w:tblCellSpacing w:w="15" w:type="dxa"/>
          <w:jc w:val="center"/>
        </w:trPr>
        <w:tc>
          <w:tcPr>
            <w:tcW w:w="1470" w:type="dxa"/>
            <w:vAlign w:val="center"/>
          </w:tcPr>
          <w:p w14:paraId="720A91BA"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lastRenderedPageBreak/>
              <w:t>Represif</w:t>
            </w:r>
          </w:p>
        </w:tc>
        <w:tc>
          <w:tcPr>
            <w:tcW w:w="2070" w:type="dxa"/>
            <w:vAlign w:val="center"/>
          </w:tcPr>
          <w:p w14:paraId="1A85910C"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Menegakkan norma dan memberikan kepastian hukum</w:t>
            </w:r>
          </w:p>
        </w:tc>
        <w:tc>
          <w:tcPr>
            <w:tcW w:w="1870" w:type="dxa"/>
            <w:vAlign w:val="center"/>
          </w:tcPr>
          <w:p w14:paraId="111A323C"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Penyidikan, penyerahan perkara, penuntutan, dan pemeriksaan di pengadilan militer, termasuk pemeriksaan tanpa hadirnya terdakwa bila diperlukan</w:t>
            </w:r>
          </w:p>
        </w:tc>
        <w:tc>
          <w:tcPr>
            <w:tcW w:w="1870" w:type="dxa"/>
            <w:vAlign w:val="center"/>
          </w:tcPr>
          <w:p w14:paraId="3505D61B"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Polisi Militer, perwira penyerah perkara, oditur militer, hakim militer</w:t>
            </w:r>
          </w:p>
        </w:tc>
      </w:tr>
      <w:tr w:rsidR="006F0069" w:rsidRPr="006F0069" w14:paraId="2254876D" w14:textId="77777777" w:rsidTr="006F0069">
        <w:trPr>
          <w:tblCellSpacing w:w="15" w:type="dxa"/>
          <w:jc w:val="center"/>
        </w:trPr>
        <w:tc>
          <w:tcPr>
            <w:tcW w:w="1470" w:type="dxa"/>
            <w:tcBorders>
              <w:bottom w:val="single" w:sz="4" w:space="0" w:color="auto"/>
            </w:tcBorders>
            <w:vAlign w:val="center"/>
          </w:tcPr>
          <w:p w14:paraId="088FDA62"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Rehabilitatif</w:t>
            </w:r>
          </w:p>
        </w:tc>
        <w:tc>
          <w:tcPr>
            <w:tcW w:w="2070" w:type="dxa"/>
            <w:tcBorders>
              <w:bottom w:val="single" w:sz="4" w:space="0" w:color="auto"/>
            </w:tcBorders>
            <w:vAlign w:val="center"/>
          </w:tcPr>
          <w:p w14:paraId="11B995FB"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Memulihkan disiplin dan mencegah pengulangan</w:t>
            </w:r>
          </w:p>
        </w:tc>
        <w:tc>
          <w:tcPr>
            <w:tcW w:w="1870" w:type="dxa"/>
            <w:tcBorders>
              <w:bottom w:val="single" w:sz="4" w:space="0" w:color="auto"/>
            </w:tcBorders>
            <w:vAlign w:val="center"/>
          </w:tcPr>
          <w:p w14:paraId="17BB7063"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Pembinaan selama menjalani pidana, penyiapan kembali berdinas bagi yang tidak diberhentikan, serta pembinaan lanjutan pada satuan asal</w:t>
            </w:r>
          </w:p>
        </w:tc>
        <w:tc>
          <w:tcPr>
            <w:tcW w:w="1870" w:type="dxa"/>
            <w:tcBorders>
              <w:bottom w:val="single" w:sz="4" w:space="0" w:color="auto"/>
            </w:tcBorders>
            <w:vAlign w:val="center"/>
          </w:tcPr>
          <w:p w14:paraId="0CD35445" w14:textId="77777777" w:rsidR="00C80A24"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Kemasyarakatan militer dan satuan asal</w:t>
            </w:r>
          </w:p>
        </w:tc>
      </w:tr>
    </w:tbl>
    <w:p w14:paraId="1FDC2875" w14:textId="77777777" w:rsidR="00C80A24"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Hasil analisis penulis atas data penelitian (2026)</w:t>
      </w:r>
    </w:p>
    <w:p w14:paraId="5C08CB65" w14:textId="77777777" w:rsidR="00C80A24" w:rsidRDefault="00C80A24">
      <w:pPr>
        <w:pStyle w:val="IEEEParagraph"/>
      </w:pPr>
    </w:p>
    <w:p w14:paraId="586FD90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2 memperlihatkan bahwa titik lemah penanggulangan selama ini terletak pada tahap preventif dan rehabilitatif, sedangkan tahap represif relatif telah berjalan melalui perangkat peradilan militer yang lengkap. Padahal sebagian besar perkara desersi lahir dari ketidakhadiran singkat yang berkembang tanpa intervensi. Penguatan pelaporan dini dan pendekatan terhadap prajurit yang belum melampaui tenggang waktu karena itu merupakan langkah paling berdampak, sebab bekerja tepat ketika perbuatan masih dapat diselesaikan melalui Undang-Undang Nomor 25 Tahun 2014.</w:t>
      </w:r>
    </w:p>
    <w:p w14:paraId="55E6AF1F"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Penanggulangan juga menuntut peningkatan kemampuan aparat penegak hukum di lingkungan militer serta partisipasi keluarga prajurit dan aparat wilayah tempat tinggal dalam mendorong prajurit yang tidak hadir agar kembali ke satuan sebelum perbuatannya berubah kualifikasi. Keterlibatan tersebut merupakan wujud pemaduan sarana penal dan nonpenal yang tidak mengurangi ketegasan penegakan hukum, melainkan memperluas titik masuk pencegahan (Arief, 2018).</w:t>
      </w:r>
    </w:p>
    <w:p w14:paraId="0DD92B9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Pada tataran kelembagaan, penerapan pidana tambahan berupa pemberhentian tidak dengan hormat perlu diletakkan secara proporsional. Pemberhentian tepat dijatuhkan pada desersi murni yang memperlihatkan maksud menarik diri untuk selamanya, terlebih disertai keadaan yang memberatkan. Sebaliknya, pada desersi yang lahir dari akumulasi persoalan personal tanpa maksud meninggalkan dinas secara permanen, penilaian yang lebih cermat diperlukan agar sanksi tidak menutup kemungkinan pemulihan prajurit yang masih dapat dibina. Penilaian proporsional demikian sejalan dengan arah pembaruan hukum pidana nasional yang menempatkan pemidanaan sebagai sarana pembinaan dan bukan semata pembalasan (Muladi &amp; Arief, 2010).</w:t>
      </w:r>
    </w:p>
    <w:p w14:paraId="5F699525" w14:textId="77777777" w:rsidR="00C80A24" w:rsidRDefault="00000000">
      <w:pPr>
        <w:pStyle w:val="Heading3"/>
        <w:ind w:left="1134" w:right="322" w:hanging="425"/>
      </w:pPr>
      <w:r>
        <w:t>KESIMPULAN</w:t>
      </w:r>
    </w:p>
    <w:p w14:paraId="708B981C"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Penelitian ini menyimpulkan bahwa pengaturan hukum tentang desersi dalam hukum pidana militer bertumpu pada kualifikasi desersi sebagai tindak pidana militer murni yang diatur dalam Pasal 87 Kitab Undang-Undang Hukum Pidana Militer, dengan dua bentuk, yaitu desersi </w:t>
      </w:r>
      <w:r>
        <w:rPr>
          <w:rStyle w:val="longtext"/>
          <w:rFonts w:ascii="Segoe UI" w:hAnsi="Segoe UI" w:cs="Segoe UI"/>
          <w:sz w:val="22"/>
          <w:szCs w:val="22"/>
          <w:shd w:val="clear" w:color="auto" w:fill="FFFFFF"/>
          <w:lang w:val="id-ID"/>
        </w:rPr>
        <w:lastRenderedPageBreak/>
        <w:t>murni yang menuntut pembuktian maksud menarik diri untuk selamanya dari kewajiban dinas, dan desersi sebagai peningkatan dari ketidakhadiran tanpa izin yang bertumpu pada terlampauinya tenggang waktu tiga puluh hari pada waktu damai atau empat hari pada waktu perang. Pengaturan materiil tersebut ditopang perangkat prosedural dalam Undang-Undang Nomor 31 Tahun 1997, termasuk kewenangan penyidikan atasan yang berhak menghukum, Polisi Militer, dan oditur militer, mekanisme penyerahan perkara, serta kemungkinan pemeriksaan tanpa hadirnya terdakwa, yang dalam praktik menyebabkan putusan cenderung seragam dan berorientasi pada penyelesaian status hukum prajurit.</w:t>
      </w:r>
    </w:p>
    <w:p w14:paraId="36576B0D"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Faktor-faktor penyebab terjadinya desersi bersumber dari dalam diri prajurit berupa rendahnya kesadaran hukum, lemahnya ketahanan mental, dan ketidakmampuan mengendalikan dorongan emosional, serta dari luar diri prajurit berupa persoalan keluarga, tekanan ekonomi, keterbatasan penanganan izin dan cuti, kondisi pembinaan satuan, dan lingkungan sosial yang permisif. Temuan penelitian memperlihatkan pola berulang berupa ketidakhadiran singkat yang berkembang menjadi berlarut-larut karena kekhawatiran menghadapi sanksi, sehingga desersi lebih sering merupakan akumulasi persoalan yang tidak tertangani daripada penolakan sadar terhadap institusi.</w:t>
      </w:r>
    </w:p>
    <w:p w14:paraId="52B29562"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Bentuk-bentuk penanggulangan desersi karena itu harus disusun sebagai satu rangkaian yang bekerja pada tahap berbeda, meliputi langkah pre-emtif melalui pembinaan mental dan penyuluhan hukum, langkah preventif melalui pengawasan kehadiran, percepatan penanganan izin dan cuti, serta pelaporan dini, langkah represif melalui penegakan hukum yang tegas dan berkepastian, dan langkah rehabilitatif melalui pembinaan selama dan setelah menjalani pidana. Penguatan aparatur penegak hukum di lingkungan militer, dukungan aparatur pemerintah lain, dan partisipasi keluarga serta masyarakat merupakan bagian tak terpisahkan dari rangkaian tersebut.</w:t>
      </w:r>
    </w:p>
    <w:p w14:paraId="2819AB4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juga menegaskan bahwa persoalan desersi tidak dapat dilepaskan dari arah pembaruan hukum pidana nasional. Berlakunya Undang-Undang Nomor 1 Tahun 2023 dan Undang-Undang Nomor 20 Tahun 2025 mengubah asas, aturan umum, dan hukum acara yang selama ini menjadi rujukan pelengkap peradilan militer, sehingga tanpa harmonisasi yang sistemik berpotensi timbul perbedaan standar pemidanaan antara justisiabel peradilan umum dan justisiabel peradilan militer atas perbuatan yang secara substansial sebanding. Harmonisasi tersebut sekaligus menjadi ruang untuk meninjau kembali orientasi pemidanaan terhadap desersi agar lebih berimbang antara penegakan disiplin dan pembinaan prajurit.</w:t>
      </w:r>
    </w:p>
    <w:p w14:paraId="7BCC214C"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temuan tersebut, disarankan agar satuan memperkuat mekanisme pelaporan dini dan pendekatan terhadap prajurit yang belum melampaui tenggang waktu agar perkara dapat diselesaikan melalui hukum disiplin militer sebelum berubah kualifikasi menjadi tindak pidana; agar penyuluhan hukum mengenai batas waktu yang mengubah ketidakhadiran tanpa izin menjadi desersi dilaksanakan secara berkala dan menjangkau seluruh golongan kepangkatan; agar penjatuhan pidana tambahan berupa pemberhentian tidak dengan hormat dipertimbangkan secara proporsional dengan memperhatikan ada tidaknya maksud meninggalkan dinas secara permanen; serta agar dilakukan harmonisasi sistemik antara hukum pidana militer dan pembaruan hukum pidana nasional melalui Undang-Undang Nomor 1 Tahun 2023 dan Undang-Undang Nomor 20 Tahun 2025. Penelitian lanjutan disarankan menguji secara empiris pengaruh pemeriksaan tanpa hadirnya terdakwa terhadap disparitas pemidanaan dan tingkat pengulangan perbuatan.</w:t>
      </w:r>
    </w:p>
    <w:p w14:paraId="61265964" w14:textId="77777777" w:rsidR="00C80A24"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lastRenderedPageBreak/>
        <w:t>Keterbatasan penelitian perlu ditegaskan agar simpulan dibaca secara proporsional. Penelitian ini terbatas pada satu wilayah hukum pengadilan militer dan menggunakan analisis kualitatif tanpa pengolahan statistik, sehingga temuannya tidak dimaksudkan untuk digeneralisasi secara nasional. Meskipun demikian, pola sebab-akibat yang ditemukan bersifat struktural dan berpeluang berlaku pada wilayah lain dengan karakter satuan yang sebanding, sehingga dapat dijadikan hipotesis kerja bagi penelitian berikutnya.</w:t>
      </w:r>
    </w:p>
    <w:p w14:paraId="17404A0A" w14:textId="77777777" w:rsidR="00C80A24" w:rsidRPr="005F3706" w:rsidRDefault="00000000">
      <w:pPr>
        <w:pStyle w:val="IEEEHeading1"/>
        <w:numPr>
          <w:ilvl w:val="0"/>
          <w:numId w:val="0"/>
        </w:numPr>
        <w:ind w:firstLine="567"/>
        <w:jc w:val="both"/>
        <w:rPr>
          <w:rFonts w:ascii="Segoe UI" w:hAnsi="Segoe UI" w:cs="Segoe UI"/>
          <w:b/>
          <w:bCs/>
          <w:sz w:val="24"/>
          <w:lang w:val="sv-SE"/>
        </w:rPr>
      </w:pPr>
      <w:r w:rsidRPr="005F3706">
        <w:rPr>
          <w:rFonts w:ascii="Segoe UI" w:hAnsi="Segoe UI" w:cs="Segoe UI"/>
          <w:b/>
          <w:bCs/>
          <w:sz w:val="24"/>
          <w:lang w:val="sv-SE"/>
        </w:rPr>
        <w:t>Referensi</w:t>
      </w:r>
    </w:p>
    <w:p w14:paraId="18652D03"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Arief, B. N. (2018). </w:t>
      </w:r>
      <w:r>
        <w:rPr>
          <w:rFonts w:cs="Segoe UI"/>
          <w:i/>
          <w:iCs/>
          <w:noProof/>
        </w:rPr>
        <w:t>Bunga rampai kebijakan hukum pidana: Perkembangan penyusunan konsep KUHP baru</w:t>
      </w:r>
      <w:r>
        <w:rPr>
          <w:rFonts w:cs="Segoe UI"/>
          <w:noProof/>
        </w:rPr>
        <w:t xml:space="preserve"> (Edisi revisi). Kencana.</w:t>
      </w:r>
    </w:p>
    <w:p w14:paraId="7C7C9B96"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Moeljatno. (2015). </w:t>
      </w:r>
      <w:r>
        <w:rPr>
          <w:rFonts w:cs="Segoe UI"/>
          <w:i/>
          <w:iCs/>
          <w:noProof/>
        </w:rPr>
        <w:t>Asas-asas hukum pidana</w:t>
      </w:r>
      <w:r>
        <w:rPr>
          <w:rFonts w:cs="Segoe UI"/>
          <w:noProof/>
        </w:rPr>
        <w:t xml:space="preserve"> (Edisi revisi). Rineka Cipta.</w:t>
      </w:r>
    </w:p>
    <w:p w14:paraId="5369BEFB"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Muladi, &amp; Arief, B. N. (2010). </w:t>
      </w:r>
      <w:r>
        <w:rPr>
          <w:rFonts w:cs="Segoe UI"/>
          <w:i/>
          <w:iCs/>
          <w:noProof/>
        </w:rPr>
        <w:t>Teori-teori dan kebijakan pidana</w:t>
      </w:r>
      <w:r>
        <w:rPr>
          <w:rFonts w:cs="Segoe UI"/>
          <w:noProof/>
        </w:rPr>
        <w:t>. Alumni.</w:t>
      </w:r>
    </w:p>
    <w:p w14:paraId="1AD075D5"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Salam, M. F. (2006). </w:t>
      </w:r>
      <w:r>
        <w:rPr>
          <w:rFonts w:cs="Segoe UI"/>
          <w:i/>
          <w:iCs/>
          <w:noProof/>
        </w:rPr>
        <w:t>Hukum pidana militer di Indonesia</w:t>
      </w:r>
      <w:r>
        <w:rPr>
          <w:rFonts w:cs="Segoe UI"/>
          <w:noProof/>
        </w:rPr>
        <w:t>. Mandar Maju.</w:t>
      </w:r>
    </w:p>
    <w:p w14:paraId="4A452D44"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Sianturi, S. R. (2010). </w:t>
      </w:r>
      <w:r>
        <w:rPr>
          <w:rFonts w:cs="Segoe UI"/>
          <w:i/>
          <w:iCs/>
          <w:noProof/>
        </w:rPr>
        <w:t>Hukum pidana militer di Indonesia</w:t>
      </w:r>
      <w:r>
        <w:rPr>
          <w:rFonts w:cs="Segoe UI"/>
          <w:noProof/>
        </w:rPr>
        <w:t>. Badan Pembinaan Hukum Tentara Nasional Indonesia.</w:t>
      </w:r>
    </w:p>
    <w:p w14:paraId="5AE66F14"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Soekanto, S. (2019). </w:t>
      </w:r>
      <w:r>
        <w:rPr>
          <w:rFonts w:cs="Segoe UI"/>
          <w:i/>
          <w:iCs/>
          <w:noProof/>
        </w:rPr>
        <w:t>Faktor-faktor yang mempengaruhi penegakan hukum</w:t>
      </w:r>
      <w:r>
        <w:rPr>
          <w:rFonts w:cs="Segoe UI"/>
          <w:noProof/>
        </w:rPr>
        <w:t>. Rajawali Pers.</w:t>
      </w:r>
    </w:p>
    <w:p w14:paraId="55404940"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Syarif, A. (1996). </w:t>
      </w:r>
      <w:r>
        <w:rPr>
          <w:rFonts w:cs="Segoe UI"/>
          <w:i/>
          <w:iCs/>
          <w:noProof/>
        </w:rPr>
        <w:t>Hukum disiplin militer Indonesia</w:t>
      </w:r>
      <w:r>
        <w:rPr>
          <w:rFonts w:cs="Segoe UI"/>
          <w:noProof/>
        </w:rPr>
        <w:t>. Rineka Cipta.</w:t>
      </w:r>
    </w:p>
    <w:p w14:paraId="1E47072D"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39 Tahun 1947 tentang Kitab Undang-Undang Hukum Pidana Tentara (Kitab Undang-Undang Hukum Pidana Militer).</w:t>
      </w:r>
    </w:p>
    <w:p w14:paraId="25EB048B"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31 Tahun 1997 tentang Peradilan Militer.</w:t>
      </w:r>
    </w:p>
    <w:p w14:paraId="441A0F01"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 Tahun 2002 tentang Pertahanan Negara.</w:t>
      </w:r>
    </w:p>
    <w:p w14:paraId="36BE7048"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34 Tahun 2004 tentang Tentara Nasional Indonesia.</w:t>
      </w:r>
    </w:p>
    <w:p w14:paraId="42E6489B"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25 Tahun 2014 tentang Hukum Disiplin Militer.</w:t>
      </w:r>
    </w:p>
    <w:p w14:paraId="177C42F8"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1 Tahun 2023 tentang Kitab Undang-Undang Hukum Pidana.</w:t>
      </w:r>
    </w:p>
    <w:p w14:paraId="1521E3B6"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3 Tahun 2025 tentang Perubahan atas Undang-Undang Nomor 34 Tahun 2004 tentang Tentara Nasional Indonesia.</w:t>
      </w:r>
    </w:p>
    <w:p w14:paraId="502978C2" w14:textId="77777777" w:rsidR="00C80A24"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20 Tahun 2025 tentang Hukum Acara Pidana.</w:t>
      </w:r>
    </w:p>
    <w:p w14:paraId="620A9ACB" w14:textId="77777777"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4BE19" w14:textId="77777777" w:rsidR="00EC2588" w:rsidRDefault="00EC2588" w:rsidP="009B0AF6">
      <w:pPr>
        <w:spacing w:after="0" w:line="240" w:lineRule="auto"/>
      </w:pPr>
      <w:r>
        <w:separator/>
      </w:r>
    </w:p>
  </w:endnote>
  <w:endnote w:type="continuationSeparator" w:id="0">
    <w:p w14:paraId="5667E0EE" w14:textId="77777777" w:rsidR="00EC2588" w:rsidRDefault="00EC258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5AE84AB6"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RR Eko Widy Astuty Sumanto</w:t>
        </w:r>
      </w:p>
      <w:p w14:paraId="1C87028F"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F54B" w14:textId="77777777" w:rsidR="00EC2588" w:rsidRDefault="00EC2588" w:rsidP="009B0AF6">
      <w:pPr>
        <w:spacing w:after="0" w:line="240" w:lineRule="auto"/>
      </w:pPr>
      <w:r>
        <w:separator/>
      </w:r>
    </w:p>
  </w:footnote>
  <w:footnote w:type="continuationSeparator" w:id="0">
    <w:p w14:paraId="374DC0CE" w14:textId="77777777" w:rsidR="00EC2588" w:rsidRDefault="00EC258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6FA5"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465D"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5F3706"/>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E7B7C"/>
    <w:rsid w:val="00BF597D"/>
    <w:rsid w:val="00C00D09"/>
    <w:rsid w:val="00C01350"/>
    <w:rsid w:val="00C11D99"/>
    <w:rsid w:val="00C34D18"/>
    <w:rsid w:val="00C36D2B"/>
    <w:rsid w:val="00C478FE"/>
    <w:rsid w:val="00C556F2"/>
    <w:rsid w:val="00C56906"/>
    <w:rsid w:val="00C676AF"/>
    <w:rsid w:val="00C7085A"/>
    <w:rsid w:val="00C80A24"/>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3835"/>
    <w:rsid w:val="00EA7010"/>
    <w:rsid w:val="00EA7E75"/>
    <w:rsid w:val="00EB308B"/>
    <w:rsid w:val="00EC2588"/>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946D6"/>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5672</Words>
  <Characters>32333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6</cp:revision>
  <cp:lastPrinted>2023-04-17T18:59:00Z</cp:lastPrinted>
  <dcterms:created xsi:type="dcterms:W3CDTF">2026-01-24T05:16:00Z</dcterms:created>
  <dcterms:modified xsi:type="dcterms:W3CDTF">2026-08-14T06:52:00Z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