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53875212" w:rsidR="00676A1B" w:rsidRPr="003A41CA" w:rsidRDefault="003A41CA" w:rsidP="00100027">
      <w:pPr>
        <w:tabs>
          <w:tab w:val="right" w:pos="9026"/>
        </w:tabs>
        <w:spacing w:after="0" w:line="240" w:lineRule="auto"/>
        <w:jc w:val="center"/>
        <w:rPr>
          <w:rFonts w:cs="Segoe UI"/>
          <w:b/>
          <w:sz w:val="30"/>
          <w:szCs w:val="30"/>
          <w:lang w:val="sv-SE"/>
        </w:rPr>
      </w:pPr>
      <w:r w:rsidRPr="003A41CA">
        <w:rPr>
          <w:rFonts w:cs="Segoe UI"/>
          <w:b/>
          <w:bCs/>
          <w:sz w:val="30"/>
          <w:szCs w:val="30"/>
        </w:rPr>
        <w:t>Pertimbangan Hukum Hakim dalam Tindak Pidana Penggelapan Berdasarkan Putusan PN Makassar Nomor 597/Pid.B/2021/PN Mks</w:t>
      </w:r>
    </w:p>
    <w:p w14:paraId="10A4DC49" w14:textId="77777777" w:rsidR="00100027" w:rsidRPr="003A41CA" w:rsidRDefault="00100027" w:rsidP="007677D4">
      <w:pPr>
        <w:tabs>
          <w:tab w:val="right" w:pos="9026"/>
        </w:tabs>
        <w:spacing w:after="0" w:line="240" w:lineRule="auto"/>
        <w:jc w:val="left"/>
        <w:rPr>
          <w:rFonts w:cs="Segoe UI"/>
          <w:i/>
          <w:sz w:val="24"/>
          <w:szCs w:val="20"/>
          <w:lang w:val="sv-SE"/>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1C70ECB9" w:rsidR="00AC334E" w:rsidRPr="00886EB8" w:rsidRDefault="003A41CA" w:rsidP="00C00D09">
      <w:pPr>
        <w:tabs>
          <w:tab w:val="right" w:pos="9026"/>
        </w:tabs>
        <w:spacing w:after="0" w:line="240" w:lineRule="auto"/>
        <w:rPr>
          <w:rFonts w:cs="Segoe UI"/>
          <w:b/>
          <w:bCs/>
          <w:sz w:val="24"/>
          <w:szCs w:val="24"/>
          <w:lang w:val="fi-FI"/>
        </w:rPr>
      </w:pPr>
      <w:r>
        <w:rPr>
          <w:rFonts w:cs="Segoe UI"/>
          <w:b/>
          <w:bCs/>
          <w:sz w:val="24"/>
          <w:szCs w:val="24"/>
          <w:lang w:val="fi-FI"/>
        </w:rPr>
        <w:t>Rimpan Sere Tanggulungan</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7D63A429" w:rsidR="00BE12F5" w:rsidRPr="007677D4" w:rsidRDefault="003A41CA" w:rsidP="00241D17">
      <w:pPr>
        <w:tabs>
          <w:tab w:val="right" w:pos="9026"/>
        </w:tabs>
        <w:spacing w:after="0" w:line="240" w:lineRule="auto"/>
        <w:rPr>
          <w:rFonts w:cs="Segoe UI"/>
          <w:i/>
          <w:sz w:val="18"/>
          <w:szCs w:val="18"/>
          <w:lang w:val="en-US"/>
        </w:rPr>
      </w:pPr>
      <w:r>
        <w:rPr>
          <w:rFonts w:cs="Segoe UI"/>
          <w:i/>
          <w:sz w:val="18"/>
          <w:szCs w:val="18"/>
          <w:lang w:val="en-US"/>
        </w:rPr>
        <w:t>rimpansere</w:t>
      </w:r>
      <w:r w:rsidR="006F20C0">
        <w:rPr>
          <w:rFonts w:cs="Segoe UI"/>
          <w:i/>
          <w:sz w:val="18"/>
          <w:szCs w:val="18"/>
          <w:lang w:val="en-US"/>
        </w:rPr>
        <w:t>@ukipaulus.ac.id (Korespondensi)*</w:t>
      </w:r>
    </w:p>
    <w:p w14:paraId="57825679"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29B9A7B5" w:rsidR="00417363" w:rsidRDefault="005939EF" w:rsidP="00886EB8">
            <w:pPr>
              <w:spacing w:after="0" w:line="240" w:lineRule="auto"/>
              <w:jc w:val="left"/>
              <w:rPr>
                <w:rFonts w:eastAsia="Times New Roman" w:cs="Segoe UI"/>
                <w:i/>
                <w:iCs/>
                <w:color w:val="181717"/>
                <w:sz w:val="20"/>
                <w:szCs w:val="20"/>
                <w:lang w:val="en-US"/>
              </w:rPr>
            </w:pPr>
            <w:r w:rsidRPr="005939EF">
              <w:rPr>
                <w:rFonts w:eastAsia="Times New Roman" w:cs="Segoe UI"/>
                <w:i/>
                <w:iCs/>
                <w:color w:val="181717"/>
                <w:sz w:val="20"/>
                <w:szCs w:val="20"/>
              </w:rPr>
              <w:t>judicial considerations, embezzlement, court decision, Article 372 of the Indonesian Criminal Code, sentencing</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61045D21" w:rsidR="00241D17" w:rsidRPr="00C676AF" w:rsidRDefault="005939EF" w:rsidP="00886EB8">
            <w:pPr>
              <w:spacing w:after="0" w:line="240" w:lineRule="auto"/>
              <w:jc w:val="left"/>
              <w:rPr>
                <w:rFonts w:eastAsia="Times New Roman" w:cs="Segoe UI"/>
                <w:i/>
                <w:color w:val="181717"/>
                <w:sz w:val="20"/>
                <w:szCs w:val="20"/>
              </w:rPr>
            </w:pPr>
            <w:r w:rsidRPr="005939EF">
              <w:rPr>
                <w:rFonts w:eastAsia="Times New Roman" w:cs="Segoe UI"/>
                <w:iCs/>
                <w:color w:val="181717"/>
                <w:sz w:val="20"/>
                <w:szCs w:val="20"/>
              </w:rPr>
              <w:t>pertimbangan hakim, tindak pidana penggelapan, putusan pengadilan, Pasal 372 KUHP, pemidanaan</w:t>
            </w:r>
          </w:p>
        </w:tc>
        <w:tc>
          <w:tcPr>
            <w:tcW w:w="3829" w:type="pct"/>
            <w:tcBorders>
              <w:top w:val="single" w:sz="4" w:space="0" w:color="auto"/>
              <w:bottom w:val="single" w:sz="4" w:space="0" w:color="auto"/>
            </w:tcBorders>
          </w:tcPr>
          <w:p w14:paraId="03CCEDFA" w14:textId="45987ED2"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5939EF" w:rsidRPr="005939EF">
              <w:rPr>
                <w:rFonts w:cs="Segoe UI"/>
                <w:i/>
                <w:iCs/>
                <w:color w:val="000000"/>
                <w:sz w:val="20"/>
                <w:szCs w:val="20"/>
                <w:shd w:val="clear" w:color="auto" w:fill="FFFFFF"/>
              </w:rPr>
              <w:t>This study aims to analyze the judge’s legal considerations in an embezzlement case based on Makassar District Court Decision Number 597/Pid.B/2021/PN Mks and to examine the decision from the perspectives of criminal law and sentencing. This study employs normative legal research using a Legal Case Study approach. Data were obtained through interviews and literature research and were analyzed qualitatively and descriptively. The findings show that the judge’s legal considerations were based on the facts established during the trial, evidence, witness testimony, the defendant’s statement, and Article 372 of the Indonesian Criminal Code. The judge examined the elements of the offense, including the subject of the crime, the intentional and unlawful appropriation of property belonging wholly or partly to another person, and the requirement that the property was initially under the defendant’s control without being obtained through a crime. Based on these considerations, the defendant was found legally and convincingly guilty of embezzlement and sentenced to four months’ imprisonment. Although the application of the law and the evidentiary assessment were considered appropriate, the sentence was regarded as relatively light in relation to the consequences of the offense and the loss suffered by the victim. Therefore, the sentence was considered not fully optimal in achieving justice, utility, and a deterrent effect.</w:t>
            </w:r>
          </w:p>
          <w:p w14:paraId="67D23D4D" w14:textId="77777777" w:rsidR="001E0508" w:rsidRPr="00C676AF" w:rsidRDefault="001E0508" w:rsidP="001E0508">
            <w:pPr>
              <w:spacing w:after="0" w:line="240" w:lineRule="auto"/>
              <w:rPr>
                <w:rFonts w:eastAsia="Times New Roman" w:cs="Segoe UI"/>
                <w:sz w:val="20"/>
                <w:szCs w:val="20"/>
              </w:rPr>
            </w:pPr>
          </w:p>
          <w:p w14:paraId="078696A2" w14:textId="77777777" w:rsidR="00886EB8" w:rsidRDefault="00886EB8" w:rsidP="001E0508">
            <w:pPr>
              <w:spacing w:after="0" w:line="240" w:lineRule="auto"/>
              <w:rPr>
                <w:rFonts w:eastAsia="Times New Roman" w:cs="Segoe UI"/>
                <w:b/>
                <w:iCs/>
                <w:sz w:val="20"/>
                <w:szCs w:val="20"/>
              </w:rPr>
            </w:pPr>
          </w:p>
          <w:p w14:paraId="514D684B" w14:textId="68FFBE19"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5939EF" w:rsidRPr="005939EF">
              <w:rPr>
                <w:rFonts w:cs="Segoe UI"/>
                <w:color w:val="000000"/>
                <w:sz w:val="20"/>
                <w:szCs w:val="20"/>
                <w:shd w:val="clear" w:color="auto" w:fill="FFFFFF"/>
              </w:rPr>
              <w:t>Penelitian ini bertujuan untuk menganalisis pertimbangan hukum hakim dalam tindak pidana penggelapan berdasarkan Putusan Pengadilan Negeri Makassar Nomor 597/Pid.B/2021/PN Mks serta menganalisis putusan tersebut dari perspektif hukum pidana dan pemidanaan. Penelitian ini menggunakan metode penelitian hukum normatif dengan pendekatan studi kasus hukum (</w:t>
            </w:r>
            <w:r w:rsidR="005939EF" w:rsidRPr="005939EF">
              <w:rPr>
                <w:rFonts w:cs="Segoe UI"/>
                <w:i/>
                <w:iCs/>
                <w:color w:val="000000"/>
                <w:sz w:val="20"/>
                <w:szCs w:val="20"/>
                <w:shd w:val="clear" w:color="auto" w:fill="FFFFFF"/>
              </w:rPr>
              <w:t>Legal Case Study</w:t>
            </w:r>
            <w:r w:rsidR="005939EF" w:rsidRPr="005939EF">
              <w:rPr>
                <w:rFonts w:cs="Segoe UI"/>
                <w:color w:val="000000"/>
                <w:sz w:val="20"/>
                <w:szCs w:val="20"/>
                <w:shd w:val="clear" w:color="auto" w:fill="FFFFFF"/>
              </w:rPr>
              <w:t xml:space="preserve">). Data diperoleh melalui wawancara dan studi kepustakaan, kemudian dianalisis secara kualitatif-deskriptif. Hasil penelitian menunjukkan bahwa pertimbangan hukum hakim telah didasarkan pada </w:t>
            </w:r>
            <w:r w:rsidR="005939EF" w:rsidRPr="005939EF">
              <w:rPr>
                <w:rFonts w:cs="Segoe UI"/>
                <w:color w:val="000000"/>
                <w:sz w:val="20"/>
                <w:szCs w:val="20"/>
                <w:shd w:val="clear" w:color="auto" w:fill="FFFFFF"/>
              </w:rPr>
              <w:lastRenderedPageBreak/>
              <w:t>fakta-fakta persidangan, alat bukti, keterangan saksi, keterangan terdakwa, dan ketentuan Pasal 372 KUHP. Hakim mempertimbangkan unsur “barang siapa”, unsur dengan sengaja dan melawan hukum memiliki barang milik orang lain, serta unsur bahwa barang tersebut berada dalam kekuasaan terdakwa bukan karena kejahatan. Berdasarkan pertimbangan tersebut, terdakwa dinyatakan terbukti secara sah dan meyakinkan melakukan tindak pidana penggelapan dan dijatuhi pidana penjara selama 4 (empat) bulan. Meskipun penerapan hukum dan pembuktian dinilai telah sesuai, pidana yang dijatuhkan dipandang relatif ringan dibandingkan dengan akibat perbuatan dan kerugian yang dialami korban, sehingga dinilai belum optimal dalam mewujudkan keadilan, kemanfaatan, dan efek jera.</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29F313E1" w14:textId="14EAB924"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Hukum pidana merupakan salah satu instrumen negara dalam menjaga ketertiban, memberikan perlindungan terhadap masyarakat, dan memberikan kepastian hukum terhadap setiap perbuatan yang dikualifikasikan sebagai tindak pidana. Penerapan hukum pidana berlandaskan asas legalitas yang menempatkan peraturan perundang-undangan sebagai dasar dalam menentukan suatu perbuatan sebagai tindak pidana dan menjatuhkan sanksi kepada pelakunya. Dalam praktiknya, penegakan hukum pidana tidak hanya berkaitan dengan penerapan norma secara tekstual, tetapi juga dengan bagaimana aparat penegak hukum, khususnya hakim, memberikan pertimbangan berdasarkan fakta dan alat bukti yang terungkap dalam persidangan.</w:t>
      </w:r>
    </w:p>
    <w:p w14:paraId="32C8C800" w14:textId="2F95C8FB"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Salah satu tindak pidana yang berkaitan dengan harta benda dan cukup sering terjadi dalam kehidupan masyarakat adalah tindak pidana penggelapan. Penggelapan pada dasarnya berkaitan dengan penyalahgunaan penguasaan atau kepercayaan terhadap suatu barang atau uang yang sebelumnya berada dalam penguasaan pelaku secara sah, tetapi kemudian diperlakukan seolah-olah menjadi miliknya sendiri. Dalam hukum pidana Indonesia, tindak pidana penggelapan secara umum diatur dalam Pasal 372 sampai dengan Pasal 377 KUHP. Perkara penggelapan memiliki dimensi yang tidak hanya bersifat yuridis, tetapi juga sosial karena dapat menimbulkan kerugian terhadap korban dan memengaruhi rasa aman serta kepercayaan masyarakat dalam hubungan hukum.</w:t>
      </w:r>
    </w:p>
    <w:p w14:paraId="7FA7B190" w14:textId="263DDB9F"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Fenomena tindak pidana penggelapan juga terlihat dalam perkara yang ditangani Pengadilan Negeri Makassar. Berdasarkan data yang dicantumkan dalam Tugas Akhir, Pengadilan Negeri Makassar menangani 58 perkara penggelapan pada tahun 2021, 78 perkara pada tahun 2022, dan 49 perkara pada tahun 2023. Data tersebut menunjukkan bahwa tindak pidana penggelapan merupakan salah satu bentuk kejahatan terhadap harta benda yang secara nyata muncul dalam praktik penegakan hukum di wilayah hukum Pengadilan Negeri Makassar. Salah satu perkara yang menjadi objek kajian adalah Putusan Pengadilan Negeri Makassar Nomor 597/Pid.B/2021/PN Mks.</w:t>
      </w:r>
    </w:p>
    <w:p w14:paraId="5B499D02" w14:textId="4ED43E8F"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 xml:space="preserve">Perkara tersebut melibatkan terdakwa Fathul Jannah yang didakwa melakukan penipuan dan/atau penggelapan berkaitan dengan sejumlah uang yang diberikan oleh korban untuk keperluan pengurusan seleksi masuk Institut Pemerintahan Dalam Negeri (IPDN). Berdasarkan fakta yang diuraikan dalam Tugas Akhir, korban menyerahkan uang sebesar Rp270.000.000,00 dengan kesepakatan bahwa apabila anak korban tidak lulus seleksi, uang tersebut akan dikembalikan. Setelah anak korban dinyatakan tidak lulus, terdakwa hanya mengembalikan </w:t>
      </w:r>
      <w:r w:rsidRPr="003A41CA">
        <w:rPr>
          <w:rFonts w:ascii="Segoe UI" w:hAnsi="Segoe UI" w:cs="Segoe UI"/>
          <w:sz w:val="22"/>
          <w:szCs w:val="22"/>
          <w:lang w:val="id-ID"/>
        </w:rPr>
        <w:lastRenderedPageBreak/>
        <w:t>Rp165.000.000,00, sedangkan sejumlah Rp105.000.000,00 masih belum dikembalikan. Peristiwa tersebut kemudian diproses sebagai perkara pidana di Pengadilan Negeri Makassar.</w:t>
      </w:r>
    </w:p>
    <w:p w14:paraId="2578EB02" w14:textId="3CB8691B"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Jaksa Penuntut Umum mengajukan dakwaan dalam bentuk subsidiair, dengan dakwaan primair berdasarkan Pasal 378 KUHP dan dakwaan subsidiair berdasarkan Pasal 372 KUHP. Dalam proses pemeriksaan perkara, hakim memilih mempertimbangkan dakwaan subsidiair karena berdasarkan alat bukti, barang bukti, keterangan saksi, pengakuan terdakwa, dan fakta hukum yang terungkap di persidangan, unsur-unsur Pasal 372 KUHP dinilai telah terpenuhi. Setelah dakwaan subsidiair terbukti, hakim tidak lagi mempertimbangkan dakwaan primair. Tugas Akhir menilai langkah tersebut telah sesuai dengan hukum acara yang berlaku.</w:t>
      </w:r>
    </w:p>
    <w:p w14:paraId="55C25E33" w14:textId="4CBDF1A6"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 xml:space="preserve">Pertimbangan hukum hakim mempunyai kedudukan sentral dalam menentukan kualitas suatu putusan. </w:t>
      </w:r>
      <w:r w:rsidRPr="003A41CA">
        <w:rPr>
          <w:rFonts w:ascii="Segoe UI" w:hAnsi="Segoe UI" w:cs="Segoe UI"/>
          <w:i/>
          <w:iCs/>
          <w:sz w:val="22"/>
          <w:szCs w:val="22"/>
          <w:lang w:val="id-ID"/>
        </w:rPr>
        <w:t>Ratio decidendi</w:t>
      </w:r>
      <w:r w:rsidRPr="003A41CA">
        <w:rPr>
          <w:rFonts w:ascii="Segoe UI" w:hAnsi="Segoe UI" w:cs="Segoe UI"/>
          <w:sz w:val="22"/>
          <w:szCs w:val="22"/>
          <w:lang w:val="id-ID"/>
        </w:rPr>
        <w:t xml:space="preserve"> merupakan alasan hukum atau dasar pemikiran yang digunakan hakim dalam memutus suatu perkara dan harus dibangun secara sistematis, logis, dan berhubungan dengan alat bukti, doktrin, yurisprudensi, serta fakta yang terungkap dalam persidangan. Pertimbangan tersebut bukan hanya menjadi dasar untuk menyatakan terdakwa terbukti atau tidak terbukti, tetapi juga menjadi landasan dalam menentukan jenis dan berat-ringannya pidana yang dijatuhkan. Karena itu, kualitas pertimbangan hakim berkaitan erat dengan terwujudnya keadilan, kepastian hukum, dan kemanfaatan dalam suatu putusan.</w:t>
      </w:r>
    </w:p>
    <w:p w14:paraId="1DB26F0F" w14:textId="29E2D456" w:rsidR="003A41CA" w:rsidRP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Dalam Putusan Pengadilan Negeri Makassar Nomor 597/Pid.B/2021/PN Mks, Majelis Hakim menyatakan Fathul Jannah terbukti secara sah dan meyakinkan melakukan tindak pidana penggelapan sebagaimana diatur dalam Pasal 372 KUHP dan menjatuhkan pidana penjara selama 4 (empat) bulan, dengan masa penangkapan dan penahanan dikurangkan seluruhnya dari pidana yang dijatuhkan.</w:t>
      </w:r>
    </w:p>
    <w:p w14:paraId="1D10E821" w14:textId="5A55F629"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Putusan tersebut menimbulkan persoalan dalam perspektif pemidanaan. Pasal 372 KUHP pada saat perkara tersebut diputus mempunyai ancaman pidana penjara paling lama 4 tahun, sedangkan pidana yang dijatuhkan hanya 4 bulan. Tugas Akhir menilai bahwa pidana tersebut relatif ringan apabila dibandingkan dengan akibat perbuatan terdakwa terhadap korban. Bahkan, dalam analisisnya, penulis menyatakan bahwa pidana tersebut belum memberikan efek jera yang memadai, baik bagi terdakwa maupun masyarakat.</w:t>
      </w:r>
    </w:p>
    <w:p w14:paraId="2E08AF52" w14:textId="228F47E5"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Persoalan tersebut menunjukkan bahwa analisis terhadap putusan penggelapan tidak cukup berhenti pada pertanyaan apakah unsur tindak pidana telah terbukti. Lebih jauh, perlu dianalisis bagaimana hakim membangun pertimbangan hukum berdasarkan fakta persidangan dan bagaimana pertimbangan tersebut digunakan untuk menentukan pidana yang dijatuhkan. Dalam konteks ini, prinsip pemidanaan tidak hanya berkaitan dengan pembalasan terhadap perbuatan yang dilakukan, tetapi juga dengan tujuan pencegahan, perlindungan masyarakat, dan pembinaan pelaku. Tugas Akhir menempatkan teori pemidanaan sebagai salah satu landasan untuk memahami alasan negara menjatuhkan pidana terhadap pelaku tindak pidana.</w:t>
      </w:r>
    </w:p>
    <w:p w14:paraId="2ADADFB0" w14:textId="345927CD"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Selain itu, penilaian terhadap putusan perlu mempertimbangkan keseimbangan antara keadilan, kemanfaatan, dan kepastian hukum. Tugas Akhir menggunakan pemikiran Gustav Radbruch yang menempatkan keadilan, kemanfaatan, dan kepastian hukum sebagai nilai dasar tujuan hukum. Dalam konteks putusan pidana, penerapan norma secara formal perlu diikuti dengan pertimbangan mengenai apakah pidana yang dijatuhkan telah memberikan keadilan bagi korban, kemanfaatan bagi masyarakat, serta kepastian hukum bagi semua pihak.</w:t>
      </w:r>
    </w:p>
    <w:p w14:paraId="2708CB6D" w14:textId="0367E429"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 xml:space="preserve">Berdasarkan konteks tersebut, penelitian ini memusatkan perhatian pada pertimbangan hukum hakim dalam Putusan Pengadilan Negeri Makassar Nomor 597/Pid.B/2021/PN Mks serta analisis terhadap putusan tersebut, khususnya terkait dasar hakim dalam memilih dakwaan </w:t>
      </w:r>
      <w:r w:rsidRPr="003A41CA">
        <w:rPr>
          <w:rFonts w:ascii="Segoe UI" w:hAnsi="Segoe UI" w:cs="Segoe UI"/>
          <w:sz w:val="22"/>
          <w:szCs w:val="22"/>
          <w:lang w:val="id-ID"/>
        </w:rPr>
        <w:lastRenderedPageBreak/>
        <w:t>subsidiair, pembuktian unsur Pasal 372 KUHP, dan pidana yang dijatuhkan kepada terdakwa. Fokus ini sejalan dengan rumusan masalah dalam Tugas Akhir yang menempatkan pertimbangan hukum hakim dan analisis putusan sebagai dua persoalan utama penelitian.</w:t>
      </w:r>
    </w:p>
    <w:p w14:paraId="4704A7D7" w14:textId="0A0EC965" w:rsidR="003A41CA" w:rsidRP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 xml:space="preserve">Penelitian ini bertujuan untuk menganalisis pertimbangan hukum hakim dalam perkara tindak pidana penggelapan berdasarkan Putusan Pengadilan Negeri Makassar Nomor 597/Pid.B/2021/PN Mks serta menganalisis putusan tersebut dari perspektif hukum pidana dan pemidanaan. Penelitian diharapkan dapat memberikan kontribusi akademik dalam memahami konstruksi </w:t>
      </w:r>
      <w:r w:rsidRPr="003A41CA">
        <w:rPr>
          <w:rFonts w:ascii="Segoe UI" w:hAnsi="Segoe UI" w:cs="Segoe UI"/>
          <w:i/>
          <w:iCs/>
          <w:sz w:val="22"/>
          <w:szCs w:val="22"/>
          <w:lang w:val="id-ID"/>
        </w:rPr>
        <w:t>ratio decidendi</w:t>
      </w:r>
      <w:r w:rsidRPr="003A41CA">
        <w:rPr>
          <w:rFonts w:ascii="Segoe UI" w:hAnsi="Segoe UI" w:cs="Segoe UI"/>
          <w:sz w:val="22"/>
          <w:szCs w:val="22"/>
          <w:lang w:val="id-ID"/>
        </w:rPr>
        <w:t xml:space="preserve"> hakim dalam perkara penggelapan serta memberikan masukan bagi penegak hukum, khususnya hakim, dalam menjatuhkan pidana yang tidak hanya memenuhi aspek kepastian hukum, tetapi juga mencerminkan keadilan dan kemanfaatan.</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77777777" w:rsidR="003A41CA" w:rsidRP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Penelitian ini menggunakan jenis penelitian hukum normatif, yaitu penelitian yang berfokus pada pengkajian kasus tindak pidana penggelapan berdasarkan Putusan Pengadilan Negeri Makassar Nomor 597/Pid.B/2021/PN Mks. Penelitian menggunakan pendekatan studi kasus hukum (</w:t>
      </w:r>
      <w:r w:rsidRPr="003A41CA">
        <w:rPr>
          <w:rFonts w:ascii="Segoe UI" w:hAnsi="Segoe UI" w:cs="Segoe UI"/>
          <w:i/>
          <w:iCs/>
          <w:sz w:val="22"/>
          <w:szCs w:val="22"/>
          <w:lang w:val="id-ID"/>
        </w:rPr>
        <w:t>Legal Case Study</w:t>
      </w:r>
      <w:r w:rsidRPr="003A41CA">
        <w:rPr>
          <w:rFonts w:ascii="Segoe UI" w:hAnsi="Segoe UI" w:cs="Segoe UI"/>
          <w:sz w:val="22"/>
          <w:szCs w:val="22"/>
          <w:lang w:val="id-ID"/>
        </w:rPr>
        <w:t xml:space="preserve">) untuk mengkaji dan menganalisis pertimbangan hukum hakim dalam perkara tindak pidana penggelapan berdasarkan putusan tersebut. </w:t>
      </w:r>
    </w:p>
    <w:p w14:paraId="45F1B14E" w14:textId="3A898FF6" w:rsidR="003A41CA" w:rsidRDefault="003A41CA">
      <w:pPr>
        <w:pStyle w:val="IEEEParagraph"/>
        <w:ind w:left="567" w:right="322" w:firstLine="567"/>
        <w:rPr>
          <w:rFonts w:ascii="Segoe UI" w:hAnsi="Segoe UI" w:cs="Segoe UI"/>
          <w:sz w:val="22"/>
          <w:szCs w:val="22"/>
          <w:lang w:val="id-ID"/>
        </w:rPr>
      </w:pPr>
      <w:r w:rsidRPr="003A41CA">
        <w:rPr>
          <w:rFonts w:ascii="Segoe UI" w:hAnsi="Segoe UI" w:cs="Segoe UI"/>
          <w:sz w:val="22"/>
          <w:szCs w:val="22"/>
          <w:lang w:val="id-ID"/>
        </w:rPr>
        <w:t>Pendekatan studi kasus digunakan untuk memahami penerapan norma hukum terhadap fakta konkret yang menjadi objek putusan, khususnya dalam menilai dasar pertimbangan hakim dalam menentukan terpenuhinya unsur tindak pidana penggelapan serta dasar penjatuhan pidana terhadap terdakwa.</w:t>
      </w:r>
    </w:p>
    <w:p w14:paraId="1FDC296A" w14:textId="77777777" w:rsidR="00685B04" w:rsidRPr="005939EF" w:rsidRDefault="00685B04">
      <w:pPr>
        <w:pStyle w:val="IEEEParagraph"/>
        <w:ind w:left="567" w:right="322"/>
        <w:rPr>
          <w:lang w:val="id-ID"/>
        </w:rPr>
      </w:pPr>
    </w:p>
    <w:p w14:paraId="5C2D9AAD" w14:textId="77777777" w:rsidR="00685B04" w:rsidRDefault="00000000">
      <w:pPr>
        <w:pStyle w:val="Heading2"/>
        <w:ind w:right="322"/>
        <w:rPr>
          <w:rStyle w:val="mediumtext"/>
        </w:rPr>
      </w:pPr>
      <w:r>
        <w:rPr>
          <w:rStyle w:val="mediumtext"/>
        </w:rPr>
        <w:t>2.2 Lokasi Penelitian dan Sumber Bahan Hukum</w:t>
      </w:r>
    </w:p>
    <w:p w14:paraId="5C93D083" w14:textId="53D30878" w:rsidR="00685B04" w:rsidRPr="003A41CA" w:rsidRDefault="003A41CA">
      <w:pPr>
        <w:pStyle w:val="IEEEParagraph"/>
        <w:ind w:left="567" w:right="322" w:firstLine="567"/>
        <w:rPr>
          <w:rFonts w:ascii="Segoe UI" w:hAnsi="Segoe UI" w:cs="Segoe UI"/>
          <w:sz w:val="22"/>
          <w:szCs w:val="22"/>
          <w:lang w:val="sv-SE"/>
        </w:rPr>
      </w:pPr>
      <w:r w:rsidRPr="003A41CA">
        <w:rPr>
          <w:rFonts w:ascii="Segoe UI" w:hAnsi="Segoe UI" w:cs="Segoe UI"/>
          <w:sz w:val="22"/>
          <w:szCs w:val="22"/>
          <w:lang w:val="id-ID"/>
        </w:rPr>
        <w:t xml:space="preserve">Penelitian dilakukan di </w:t>
      </w:r>
      <w:r w:rsidRPr="003A41CA">
        <w:rPr>
          <w:rFonts w:ascii="Segoe UI" w:hAnsi="Segoe UI" w:cs="Segoe UI"/>
          <w:b/>
          <w:bCs/>
          <w:sz w:val="22"/>
          <w:szCs w:val="22"/>
          <w:lang w:val="id-ID"/>
        </w:rPr>
        <w:t>Pengadilan Negeri Makassar</w:t>
      </w:r>
      <w:r w:rsidRPr="003A41CA">
        <w:rPr>
          <w:rFonts w:ascii="Segoe UI" w:hAnsi="Segoe UI" w:cs="Segoe UI"/>
          <w:sz w:val="22"/>
          <w:szCs w:val="22"/>
          <w:lang w:val="id-ID"/>
        </w:rPr>
        <w:t>, yang beralamat di Jalan R. A. Kartini No. 18, Kota Makassar. Lokasi tersebut dipilih karena berkaitan langsung dengan objek penelitian, yaitu Putusan Pengadilan Negeri Makassar Nomor 597/Pid.B/2021/PN Mks, serta menjadi tempat memperoleh data yang diperlukan dalam penelitian.</w:t>
      </w:r>
    </w:p>
    <w:p w14:paraId="4BF2084B" w14:textId="77777777" w:rsidR="00685B04" w:rsidRPr="003A41CA" w:rsidRDefault="00685B04">
      <w:pPr>
        <w:pStyle w:val="IEEEParagraph"/>
        <w:ind w:left="567" w:right="322"/>
        <w:rPr>
          <w:lang w:val="sv-SE"/>
        </w:rPr>
      </w:pPr>
    </w:p>
    <w:p w14:paraId="1F34F785" w14:textId="3B1127AB" w:rsidR="00685B04" w:rsidRDefault="00000000">
      <w:pPr>
        <w:pStyle w:val="Heading2"/>
        <w:ind w:right="322"/>
        <w:rPr>
          <w:rStyle w:val="mediumtext"/>
        </w:rPr>
      </w:pPr>
      <w:r>
        <w:rPr>
          <w:rStyle w:val="mediumtext"/>
        </w:rPr>
        <w:t xml:space="preserve">2.3 </w:t>
      </w:r>
      <w:r w:rsidR="003A41CA" w:rsidRPr="003A41CA">
        <w:t>Jenis dan Sumber Data</w:t>
      </w:r>
    </w:p>
    <w:p w14:paraId="4E086DBA" w14:textId="3E1F9A2B" w:rsidR="00685B04" w:rsidRPr="003A41CA" w:rsidRDefault="003A41CA">
      <w:pPr>
        <w:pStyle w:val="IEEEParagraph"/>
        <w:ind w:left="567" w:right="322" w:firstLine="567"/>
        <w:rPr>
          <w:rFonts w:ascii="Segoe UI" w:hAnsi="Segoe UI" w:cs="Segoe UI"/>
          <w:sz w:val="22"/>
          <w:szCs w:val="22"/>
          <w:lang w:val="sv-SE"/>
        </w:rPr>
      </w:pPr>
      <w:r w:rsidRPr="003A41CA">
        <w:rPr>
          <w:rFonts w:ascii="Segoe UI" w:hAnsi="Segoe UI" w:cs="Segoe UI"/>
          <w:sz w:val="22"/>
          <w:szCs w:val="22"/>
          <w:lang w:val="id-ID"/>
        </w:rPr>
        <w:t>Penelitian menggunakan data primer dan data sekunder. Data primer diperoleh melalui wawancara secara langsung dengan pihak yang berkaitan dengan tindak pidana penggelapan yang menjadi objek penelitian. Data sekunder diperoleh melalui studi kepustakaan yang berkaitan dengan permasalahan penelitian, termasuk peraturan perundang-undangan, karya ilmiah, buku, laporan, dokumen, arsip, dan sumber kepustakaan lainnya yang relevan.</w:t>
      </w:r>
    </w:p>
    <w:p w14:paraId="5385C28D" w14:textId="77777777" w:rsidR="00685B04" w:rsidRPr="003A41CA" w:rsidRDefault="00685B04">
      <w:pPr>
        <w:pStyle w:val="IEEEParagraph"/>
        <w:ind w:left="567" w:right="322"/>
        <w:rPr>
          <w:lang w:val="sv-SE"/>
        </w:rPr>
      </w:pPr>
    </w:p>
    <w:p w14:paraId="4D857164" w14:textId="63B4F5C8" w:rsidR="00685B04" w:rsidRDefault="00000000">
      <w:pPr>
        <w:pStyle w:val="Heading2"/>
        <w:ind w:right="322"/>
        <w:rPr>
          <w:rStyle w:val="mediumtext"/>
        </w:rPr>
      </w:pPr>
      <w:r>
        <w:rPr>
          <w:rStyle w:val="mediumtext"/>
        </w:rPr>
        <w:t xml:space="preserve">2.4 </w:t>
      </w:r>
      <w:r w:rsidR="003A41CA" w:rsidRPr="003A41CA">
        <w:t>Teknik Pengumpulan Data</w:t>
      </w:r>
    </w:p>
    <w:p w14:paraId="135BDED3" w14:textId="26B9325F" w:rsidR="00685B04" w:rsidRPr="003A41CA" w:rsidRDefault="003A41CA">
      <w:pPr>
        <w:pStyle w:val="IEEEParagraph"/>
        <w:ind w:left="567" w:right="322" w:firstLine="567"/>
        <w:rPr>
          <w:rFonts w:ascii="Segoe UI" w:hAnsi="Segoe UI" w:cs="Segoe UI"/>
          <w:sz w:val="22"/>
          <w:szCs w:val="22"/>
          <w:lang w:val="sv-SE"/>
        </w:rPr>
      </w:pPr>
      <w:r w:rsidRPr="003A41CA">
        <w:rPr>
          <w:rFonts w:ascii="Segoe UI" w:hAnsi="Segoe UI" w:cs="Segoe UI"/>
          <w:sz w:val="22"/>
          <w:szCs w:val="22"/>
          <w:lang w:val="id-ID"/>
        </w:rPr>
        <w:t>Pengumpulan data dilakukan melalui wawancara dan studi kepustakaan. Wawancara dilakukan secara langsung melalui tanya jawab dengan responden atau narasumber yang berkaitan dengan permasalahan penelitian. Sementara itu, studi kepustakaan dilakukan dengan mempelajari peraturan perundang-undangan, karya ilmiah para sarjana, kamus, laporan, dokumen, arsip, dan referensi buku yang berkaitan dengan tindak pidana penggelapan dan objek putusan yang diteliti.</w:t>
      </w:r>
    </w:p>
    <w:p w14:paraId="019917AF" w14:textId="77777777" w:rsidR="00685B04" w:rsidRPr="003A41CA" w:rsidRDefault="00685B04">
      <w:pPr>
        <w:pStyle w:val="IEEEParagraph"/>
        <w:ind w:left="567" w:right="322"/>
        <w:rPr>
          <w:lang w:val="sv-SE"/>
        </w:rPr>
      </w:pPr>
    </w:p>
    <w:p w14:paraId="692E4666" w14:textId="77777777" w:rsidR="00685B04" w:rsidRDefault="00000000">
      <w:pPr>
        <w:pStyle w:val="Heading2"/>
        <w:ind w:right="322"/>
        <w:rPr>
          <w:rStyle w:val="mediumtext"/>
        </w:rPr>
      </w:pPr>
      <w:r>
        <w:rPr>
          <w:rStyle w:val="mediumtext"/>
        </w:rPr>
        <w:lastRenderedPageBreak/>
        <w:t>2.5 Batasan Penelitian</w:t>
      </w:r>
    </w:p>
    <w:p w14:paraId="2F4FAF3E" w14:textId="76150B9D" w:rsidR="00685B04" w:rsidRPr="003A41CA" w:rsidRDefault="003A41CA">
      <w:pPr>
        <w:pStyle w:val="IEEEParagraph"/>
        <w:ind w:left="567" w:right="322" w:firstLine="567"/>
        <w:rPr>
          <w:rFonts w:ascii="Segoe UI" w:hAnsi="Segoe UI" w:cs="Segoe UI"/>
          <w:sz w:val="22"/>
          <w:szCs w:val="22"/>
          <w:lang w:val="sv-SE"/>
        </w:rPr>
      </w:pPr>
      <w:r w:rsidRPr="003A41CA">
        <w:rPr>
          <w:rFonts w:ascii="Segoe UI" w:hAnsi="Segoe UI" w:cs="Segoe UI"/>
          <w:sz w:val="22"/>
          <w:szCs w:val="22"/>
          <w:lang w:val="id-ID"/>
        </w:rPr>
        <w:t>Penelitian ini dibatasi pada analisis pertimbangan hukum hakim dan putusan dalam perkara tindak pidana penggelapan berdasarkan Putusan Pengadilan Negeri Makassar Nomor 597/Pid.B/2021/PN Mks. Pembahasan difokuskan pada proses hakim dalam memilih dan mempertimbangkan dakwaan yang terbukti, penerapan Pasal 372 KUHP berdasarkan fakta persidangan, serta penilaian terhadap pidana yang dijatuhkan kepada terdakwa. Penelitian tidak membahas perkara penggelapan lain di luar putusan yang menjadi objek penelitian.</w:t>
      </w:r>
    </w:p>
    <w:p w14:paraId="1F02A9F4" w14:textId="77777777" w:rsidR="001E0508" w:rsidRPr="001C62FB" w:rsidRDefault="006F0069" w:rsidP="006F0069">
      <w:pPr>
        <w:pStyle w:val="Heading3"/>
        <w:ind w:left="1134" w:hanging="283"/>
      </w:pPr>
      <w:r>
        <w:rPr>
          <w:iCs/>
        </w:rPr>
        <w:t>HASIL DA</w:t>
      </w:r>
      <w:r>
        <w:t>N PEMBAHASAN</w:t>
      </w:r>
    </w:p>
    <w:p w14:paraId="3FC6641F" w14:textId="44246B2C" w:rsidR="00685B04" w:rsidRDefault="00000000">
      <w:pPr>
        <w:pStyle w:val="Heading2"/>
        <w:ind w:right="322"/>
        <w:rPr>
          <w:rStyle w:val="mediumtext"/>
        </w:rPr>
      </w:pPr>
      <w:r>
        <w:rPr>
          <w:rStyle w:val="mediumtext"/>
        </w:rPr>
        <w:t xml:space="preserve">3.1 </w:t>
      </w:r>
      <w:r w:rsidR="006C1665" w:rsidRPr="006C1665">
        <w:t>Pertimbangan Hukum Hakim dalam Tindak Pidana Penggelapan</w:t>
      </w:r>
    </w:p>
    <w:p w14:paraId="10D2A1D5" w14:textId="17D9A558"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Pertimbangan hukum hakim (</w:t>
      </w:r>
      <w:r w:rsidRPr="006C1665">
        <w:rPr>
          <w:rFonts w:ascii="Segoe UI" w:hAnsi="Segoe UI" w:cs="Segoe UI"/>
          <w:i/>
          <w:iCs/>
          <w:sz w:val="22"/>
          <w:szCs w:val="22"/>
          <w:lang w:val="id-ID"/>
        </w:rPr>
        <w:t>ratio decidendi</w:t>
      </w:r>
      <w:r w:rsidRPr="006C1665">
        <w:rPr>
          <w:rFonts w:ascii="Segoe UI" w:hAnsi="Segoe UI" w:cs="Segoe UI"/>
          <w:sz w:val="22"/>
          <w:szCs w:val="22"/>
          <w:lang w:val="id-ID"/>
        </w:rPr>
        <w:t>) merupakan dasar pemikiran yang digunakan hakim dalam memutus perkara berdasarkan fakta persidangan, alat bukti, ketentuan hukum, dan argumentasi yang disusun secara sistematis serta logis. Pertimbangan tersebut menjadi bagian penting dari putusan karena menentukan apakah suatu perbuatan dapat dinyatakan terbukti sebagai tindak pidana sekaligus menjadi dasar bagi hakim dalam menjatuhkan pidana. Oleh karena itu, pertimbangan hukum harus mampu menghubungkan fakta konkret dengan norma hukum yang diterapkan sehingga putusan memiliki dasar yuridis yang dapat dipertanggungjawabkan.</w:t>
      </w:r>
    </w:p>
    <w:p w14:paraId="5BCC6E23" w14:textId="3A8781A2"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Objek penelitian ini adalah Putusan Pengadilan Negeri Makassar Nomor 597/Pid.B/2021/PN Mks dengan terdakwa Fathul Jannah. Perkara bermula ketika korban menyerahkan uang sebesar Rp270.000.000,00 kepada terdakwa berdasarkan kesepakatan bahwa uang tersebut akan digunakan untuk mengurus anak korban agar lulus seleksi IPDN Tahun 2015 dan akan dikembalikan apabila tidak lulus. Setelah anak korban dinyatakan tidak lulus, terdakwa tidak mengembalikan seluruh uang tersebut dan hanya mengembalikan Rp165.000.000,00, sedangkan menurut fakta putusan masih terdapat sisa kerugian yang belum dikembalikan.</w:t>
      </w:r>
    </w:p>
    <w:p w14:paraId="5E678F29" w14:textId="05C9CBD0"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Dalam perkara tersebut, Jaksa Penuntut Umum mengajukan dakwaan dengan dua pilihan, yaitu Pasal 378 KUHP dan Pasal 372 KUHP. Berdasarkan fakta-fakta yang terungkap dalam persidangan, Majelis Hakim memilih mempertimbangkan dakwaan mengenai tindak pidana penggelapan sebagaimana diatur dalam Pasal 372 KUHP. Tugas Akhir menilai bahwa pilihan tersebut telah tepat karena hakim mendasarkan pertimbangannya pada fakta hukum dan pembuktian yang terungkap selama persidangan.</w:t>
      </w:r>
    </w:p>
    <w:p w14:paraId="586563AA" w14:textId="0ED52DB2"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Pasal 372 KUHP dalam perkara ini diterapkan melalui tiga unsur utama, yaitu “barang siapa”, “dengan sengaja dan dengan melawan hukum memiliki barang sesuatu yang sama sekali atau sebagian kepunyaan orang lain”, serta “tetapi yang ada dalam kekuasaannya bukan karena kejahatan”. Struktur pertimbangan tersebut menunjukkan bahwa hakim tidak serta-merta menyatakan terdakwa bersalah, melainkan terlebih dahulu menguji setiap unsur delik berdasarkan fakta dan alat bukti yang muncul di persidangan.</w:t>
      </w:r>
    </w:p>
    <w:p w14:paraId="7FEAD7AE" w14:textId="5F2C4D0D"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Terhadap unsur “barang siapa”, hakim menilai bahwa unsur tersebut menunjuk pada subjek hukum yang melakukan perbuatan pidana dan mampu mempertanggungjawabkan perbuatannya. Berdasarkan keterangan para saksi dan keterangan terdakwa sendiri, identitas terdakwa yang diajukan dalam persidangan sesuai dengan identitas dalam surat dakwaan. Dengan demikian, hakim menyimpulkan bahwa unsur “barang siapa” telah terbukti secara sah dan meyakinkan. Pertimbangan ini menunjukkan bahwa hakim terlebih dahulu memastikan terpenuhinya aspek subjek hukum sebelum memasuki unsur material tindak pidana.</w:t>
      </w:r>
    </w:p>
    <w:p w14:paraId="60663F49" w14:textId="77777777"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lastRenderedPageBreak/>
        <w:t>Selanjutnya, hakim mempertimbangkan unsur kesengajaan dan sifat melawan hukum. Hakim menghubungkan unsur tersebut dengan fakta bahwa terdakwa menerima uang sebesar Rp270.000.000,00 dari korban berdasarkan kesepakatan bahwa uang akan dikembalikan apabila anak korban tidak lulus seleksi IPDN. Setelah hasil seleksi menyatakan anak korban tidak lulus, terdakwa tidak mengembalikan seluruh uang tersebut. Terdakwa hanya mengembalikan Rp165.000.000,00 dan kemudian membuat surat pernyataan untuk mengembalikan sisa uang, tetapi kewajiban tersebut tidak dipenuhi. Berdasarkan keadaan tersebut, hakim menyatakan unsur dengan sengaja dan melawan hukum telah terbukti.</w:t>
      </w:r>
    </w:p>
    <w:p w14:paraId="313EB3DB" w14:textId="30D46CFF"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Pertimbangan tersebut menunjukkan bahwa hakim tidak hanya mendasarkan kesengajaan pada pengakuan terdakwa, tetapi menghubungkannya dengan rangkaian peristiwa yang didukung oleh keterangan saksi dan alat bukti. Adanya penyerahan uang, kesepakatan mengenai pengembalian, kegagalan terdakwa mengembalikan seluruh uang, serta dibuatnya surat pernyataan pengembalian menjadi rangkaian fakta yang digunakan untuk membangun kesimpulan mengenai perbuatan terdakwa. Dengan demikian, hubungan antara fakta persidangan dan unsur delik menjadi dasar utama dalam membuktikan adanya penguasaan secara melawan hukum.</w:t>
      </w:r>
    </w:p>
    <w:p w14:paraId="4188E7F4" w14:textId="32E63475"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Terhadap unsur “yang ada dalam kekuasaannya bukan karena kejahatan”, hakim mempertimbangkan bahwa uang tersebut pada awalnya berada dalam penguasaan terdakwa bukan karena diperoleh melalui suatu tindak pidana, melainkan karena diserahkan secara langsung oleh korban berdasarkan kesepakatan yang telah dibuat sebelumnya. Artinya, penguasaan awal terhadap uang tersebut diperoleh secara tidak langsung melalui hubungan yang pada mulanya dianggap sah oleh para pihak. Persoalan pidana muncul ketika terdakwa tidak melaksanakan kewajibannya untuk mengembalikan uang tersebut sesuai dengan kesepakatan setelah syarat pengembalian terpenuhi.</w:t>
      </w:r>
    </w:p>
    <w:p w14:paraId="6C0DA763" w14:textId="3804FBF3"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Berdasarkan keseluruhan pertimbangan tersebut, Majelis Hakim menyimpulkan bahwa seluruh unsur Pasal 372 KUHP telah terbukti dan menyatakan terdakwa Fathul Jannah terbukti secara sah dan meyakinkan melakukan tindak pidana penggelapan. Hakim kemudian menjatuhkan pidana penjara selama 4 (empat) bulan, dengan masa penangkapan dan penahanan yang telah dijalani diperhitungkan seluruhnya sebagai pengurang pidana.</w:t>
      </w:r>
    </w:p>
    <w:p w14:paraId="701F3DEF" w14:textId="6EA29243"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Apabila dianalisis dari aspek penegakan hukum, pertimbangan hakim dalam menentukan terbuktinya tindak pidana penggelapan dapat dinilai telah memiliki dasar yang jelas. Hakim menguraikan unsur-unsur Pasal 372 KUHP satu per satu dan menghubungkannya dengan fakta yang terungkap dalam persidangan. Tugas Akhir juga menilai bahwa pilihan hakim untuk mengesampingkan dakwaan lainnya setelah dakwaan mengenai penggelapan terbukti telah dilakukan berdasarkan alat bukti, barang bukti, dan fakta-fakta hukum dalam persidangan.</w:t>
      </w:r>
    </w:p>
    <w:p w14:paraId="14315DA7" w14:textId="60083461"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Namun, persoalan berbeda muncul ketika pertimbangan tersebut dihubungkan dengan pidana yang dijatuhkan. Dalam analisis Tugas Akhir, hakim telah menyatakan terdakwa terbukti melakukan penggelapan dan mempertimbangkan pula bahwa perbuatannya menimbulkan kerugian bagi korban. Meskipun demikian, pidana penjara yang dijatuhkan hanya 4 bulan dinilai terlalu ringan dan belum memberikan efek jera yang memadai, baik bagi terdakwa maupun masyarakat. Penilaian tersebut didasarkan pada perbandingan antara akibat perbuatan terdakwa dan berat-ringannya pidana yang dijatuhkan.</w:t>
      </w:r>
    </w:p>
    <w:p w14:paraId="01AF38DC" w14:textId="7AD2A129"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 xml:space="preserve">Dalam konteks tujuan pemidanaan, persoalan berat-ringannya pidana tidak semata-mata berkaitan dengan pembalasan terhadap pelaku, tetapi juga dengan fungsi pencegahan, perlindungan masyarakat, dan pembinaan. Tugas Akhir menempatkan teori pemidanaan sebagai </w:t>
      </w:r>
      <w:r w:rsidRPr="006C1665">
        <w:rPr>
          <w:rFonts w:ascii="Segoe UI" w:hAnsi="Segoe UI" w:cs="Segoe UI"/>
          <w:sz w:val="22"/>
          <w:szCs w:val="22"/>
          <w:lang w:val="id-ID"/>
        </w:rPr>
        <w:lastRenderedPageBreak/>
        <w:t>dasar untuk memahami alasan negara menjatuhkan pidana terhadap pelaku tindak pidana, termasuk tujuan untuk mencegah pengulangan perbuatan dan memberikan perlindungan kepada masyarakat. Dengan demikian, pidana yang dijatuhkan seharusnya tidak hanya memenuhi aspek formal, tetapi juga mempertimbangkan tujuan pemidanaan secara substantif.</w:t>
      </w:r>
    </w:p>
    <w:p w14:paraId="41590047" w14:textId="5EA5894A"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Pertimbangan hakim juga perlu dilihat dari tiga nilai utama tujuan hukum, yaitu keadilan, kemanfaatan, dan kepastian hukum. Tugas Akhir menguraikan bahwa pertimbangan hakim idealnya tidak berhenti pada aspek yuridis normatif, tetapi juga memperhatikan aspek filosofis dan sosiologis serta fakta yang terungkap di persidangan. Hal tersebut penting agar putusan tidak hanya tepat secara normatif, tetapi juga memberikan keadilan dan kemanfaatan bagi pihak yang dirugikan dan masyarakat.</w:t>
      </w:r>
    </w:p>
    <w:p w14:paraId="22738CA5" w14:textId="1408AE7D" w:rsidR="006C1665" w:rsidRPr="006C1665" w:rsidRDefault="006C1665">
      <w:pPr>
        <w:pStyle w:val="IEEEParagraph"/>
        <w:ind w:left="567" w:right="322" w:firstLine="567"/>
        <w:rPr>
          <w:rFonts w:ascii="Segoe UI" w:hAnsi="Segoe UI" w:cs="Segoe UI"/>
          <w:sz w:val="22"/>
          <w:szCs w:val="22"/>
          <w:lang w:val="id-ID"/>
        </w:rPr>
      </w:pPr>
      <w:r w:rsidRPr="006C1665">
        <w:rPr>
          <w:rFonts w:ascii="Segoe UI" w:hAnsi="Segoe UI" w:cs="Segoe UI"/>
          <w:sz w:val="22"/>
          <w:szCs w:val="22"/>
          <w:lang w:val="id-ID"/>
        </w:rPr>
        <w:t>Berdasarkan uraian tersebut, dapat disimpulkan bahwa pertimbangan hukum hakim dalam Putusan Pengadilan Negeri Makassar Nomor 597/Pid.B/2021/PN Mks telah menghubungkan unsur-unsur Pasal 372 KUHP dengan fakta dan alat bukti yang terungkap di persidangan secara sistematis. Namun, dari perspektif pemidanaan, penelitian ini menemukan adanya persoalan mengenai proporsionalitas pidana yang dijatuhkan. Dengan demikian, ketepatan dalam membuktikan unsur tindak pidana tidak secara otomatis menunjukkan bahwa seluruh aspek pemidanaan telah mencapai tingkat keadilan dan kemanfaatan yang optimal.</w:t>
      </w:r>
    </w:p>
    <w:p w14:paraId="785098ED" w14:textId="77777777" w:rsidR="00685B04" w:rsidRPr="005939EF" w:rsidRDefault="00685B04">
      <w:pPr>
        <w:pStyle w:val="IEEEParagraph"/>
        <w:ind w:left="567" w:right="322"/>
        <w:rPr>
          <w:lang w:val="id-ID"/>
        </w:rPr>
      </w:pPr>
    </w:p>
    <w:p w14:paraId="4707B302" w14:textId="239C29B2" w:rsidR="00685B04" w:rsidRDefault="00000000">
      <w:pPr>
        <w:pStyle w:val="Heading2"/>
        <w:ind w:right="322"/>
        <w:rPr>
          <w:rStyle w:val="mediumtext"/>
        </w:rPr>
      </w:pPr>
      <w:r>
        <w:rPr>
          <w:rStyle w:val="mediumtext"/>
        </w:rPr>
        <w:t xml:space="preserve">3.2 </w:t>
      </w:r>
      <w:r w:rsidR="006C1665" w:rsidRPr="006C1665">
        <w:t>Analisis Putusan Hakim dalam Perkara Tindak Pidana Penggelapan</w:t>
      </w:r>
    </w:p>
    <w:p w14:paraId="3E3F4052" w14:textId="77777777" w:rsidR="006C1665" w:rsidRPr="006C1665" w:rsidRDefault="006C1665" w:rsidP="006C1665">
      <w:pPr>
        <w:pStyle w:val="IEEEParagraph"/>
        <w:ind w:left="567" w:right="322" w:firstLine="567"/>
        <w:rPr>
          <w:rFonts w:ascii="Segoe UI" w:hAnsi="Segoe UI" w:cs="Segoe UI"/>
          <w:sz w:val="22"/>
          <w:szCs w:val="22"/>
          <w:lang w:val="sv-SE"/>
        </w:rPr>
      </w:pPr>
      <w:r w:rsidRPr="005939EF">
        <w:rPr>
          <w:rFonts w:ascii="Segoe UI" w:hAnsi="Segoe UI" w:cs="Segoe UI"/>
          <w:sz w:val="22"/>
          <w:szCs w:val="22"/>
          <w:lang w:val="id-ID"/>
        </w:rPr>
        <w:t xml:space="preserve">Analisis terhadap Putusan Pengadilan Negeri Makassar Nomor 597/Pid.B/2021/PN Mks tidak hanya berkaitan dengan terbuktinya unsur tindak pidana penggelapan, tetapi juga perlu melihat kesesuaian antara pertimbangan hukum hakim dengan pidana yang dijatuhkan. </w:t>
      </w:r>
      <w:r w:rsidRPr="006C1665">
        <w:rPr>
          <w:rFonts w:ascii="Segoe UI" w:hAnsi="Segoe UI" w:cs="Segoe UI"/>
          <w:sz w:val="22"/>
          <w:szCs w:val="22"/>
          <w:lang w:val="sv-SE"/>
        </w:rPr>
        <w:t>Putusan merupakan hasil akhir dari proses pemeriksaan perkara yang harus mencerminkan hubungan antara fakta persidangan, ketentuan hukum, pertanggungjawaban pidana, dan tujuan pemidanaan. Dalam konteks tersebut, kualitas putusan tidak hanya diukur dari terpenuhinya aspek yuridis, tetapi juga dari keadilan dan kemanfaatan yang dihasilkan bagi korban, terdakwa, dan masyarakat.</w:t>
      </w:r>
    </w:p>
    <w:p w14:paraId="6473DD2E" w14:textId="77777777" w:rsid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Dalam perkara ini, hakim telah menyatakan Fathul Jannah terbukti secara sah dan meyakinkan melakukan tindak pidana penggelapan berdasarkan Pasal 372 KUHP. Pertimbangan tersebut dibangun melalui pemeriksaan terhadap unsur “barang siapa”, unsur kesengajaan dan sifat melawan hukum, serta unsur penguasaan barang yang bukan diperoleh karena kejahatan. Berdasarkan fakta persidangan, seluruh unsur tersebut dinyatakan terpenuhi sehingga terdakwa dinyatakan bersalah. Dari aspek pembuktian, Tugas Akhir menilai bahwa pertimbangan tersebut telah dilakukan berdasarkan alat bukti, barang bukti, keterangan saksi, dan fakta hukum yang terungkap di persidangan.</w:t>
      </w:r>
    </w:p>
    <w:p w14:paraId="1B9365A7" w14:textId="73321C48"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Putusan tersebut juga menunjukkan bahwa hakim mempertimbangkan fakta mengenai kerugian korban. Berdasarkan kronologi perkara, korban menyerahkan Rp270.000.000,00 kepada terdakwa dengan kesepakatan bahwa uang tersebut akan dikembalikan apabila anak korban tidak lulus seleksi IPDN. Setelah anak korban dinyatakan tidak lulus, terdakwa hanya mengembalikan Rp165.000.000,00 dan sisa uang tidak dikembalikan meskipun terdakwa telah membuat surat pernyataan untuk mengembalikannya. Dalam uraian kasus, sisa kerugian korban dinyatakan sebesar Rp108.000.000,00.</w:t>
      </w:r>
    </w:p>
    <w:p w14:paraId="00AF85AC" w14:textId="77777777"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 xml:space="preserve">Atas fakta tersebut, Majelis Hakim menjatuhkan pidana penjara selama 4 (empat) bulan kepada terdakwa. Masa penangkapan dan penahanan yang telah dijalani diperhitungkan seluruhnya sebagai pengurang pidana. Dengan demikian, putusan tersebut secara formal telah </w:t>
      </w:r>
      <w:r w:rsidRPr="006C1665">
        <w:rPr>
          <w:rFonts w:ascii="Segoe UI" w:hAnsi="Segoe UI" w:cs="Segoe UI"/>
          <w:sz w:val="22"/>
          <w:szCs w:val="22"/>
          <w:lang w:val="sv-SE"/>
        </w:rPr>
        <w:lastRenderedPageBreak/>
        <w:t>memberikan bentuk pertanggungjawaban pidana terhadap terdakwa setelah dinyatakan terbukti melakukan penggelapan.</w:t>
      </w:r>
    </w:p>
    <w:p w14:paraId="68A7CE54" w14:textId="77777777"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Akan tetapi, persoalan yang menjadi perhatian dalam penelitian ini adalah proporsionalitas pidana yang dijatuhkan. Tugas Akhir menilai bahwa pidana penjara selama 4 bulan relatif ringan apabila dibandingkan dengan akibat perbuatan terdakwa terhadap korban. Dalam perkara tersebut, kerugian korban masih tercatat dalam jumlah yang signifikan, sementara pidana yang dijatuhkan hanya sebagian kecil dari ancaman maksimum Pasal 372 KUHP yang pada saat perkara diperiksa memiliki ancaman pidana penjara paling lama 4 tahun.</w:t>
      </w:r>
    </w:p>
    <w:p w14:paraId="08A36B39" w14:textId="77777777"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Penilaian terhadap berat-ringannya pidana tidak berarti bahwa hakim harus selalu menjatuhkan pidana mendekati ancaman maksimum. Hakim tetap memiliki kewenangan untuk menentukan jenis dan lamanya pidana berdasarkan fakta perkara serta keadaan yang relevan. Namun, kebebasan tersebut harus disertai pertimbangan yang memadai agar pidana yang dijatuhkan dapat dipahami secara rasional dan memenuhi tujuan pemidanaan. Dalam Tugas Akhir, aspek kerugian yang dialami korban disebut sebagai keadaan yang memberatkan, tetapi pidana yang dijatuhkan tetap dinilai terlalu ringan dan belum memberikan efek jera.</w:t>
      </w:r>
    </w:p>
    <w:p w14:paraId="00552E92" w14:textId="77777777"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Dari perspektif teori pemidanaan, pidana tidak hanya berfungsi sebagai pembalasan terhadap pelaku, tetapi juga mempunyai tujuan pencegahan, perlindungan masyarakat, dan pembinaan. Oleh karena itu, penjatuhan pidana harus mempertimbangkan akibat yang ditimbulkan oleh tindak pidana dan tujuan yang hendak dicapai melalui pemidanaan. Tugas Akhir menjelaskan bahwa teori pemidanaan mencakup pemikiran mengenai pembalasan, pencegahan, perlindungan masyarakat, dan perbaikan pelaku.</w:t>
      </w:r>
    </w:p>
    <w:p w14:paraId="5EE847BE" w14:textId="77777777"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Dari perspektif keadilan, pidana yang dijatuhkan perlu mempertimbangkan kepentingan korban sebagai pihak yang secara langsung mengalami kerugian. Putusan yang menyatakan terdakwa bersalah telah memberikan kepastian mengenai pertanggungjawaban pidana, tetapi keadilan substantif juga berkaitan dengan apakah akibat tindak pidana telah dipertimbangkan secara proporsional dalam pemidanaan. Dalam perkara ini, Tugas Akhir memandang bahwa kerugian korban dan belum dikembalikannya seluruh uang menjadi alasan penting untuk menilai bahwa pidana 4 bulan belum memberikan respons yang memadai terhadap akibat perbuatan terdakwa.</w:t>
      </w:r>
    </w:p>
    <w:p w14:paraId="1015206A" w14:textId="77777777"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Dari perspektif kemanfaatan, pidana yang dijatuhkan seharusnya mempunyai fungsi pencegahan agar tindak pidana serupa tidak kembali dilakukan. Pidana yang terlalu ringan berpotensi mengurangi fungsi deterrent atau efek pencegahannya, baik terhadap pelaku maupun masyarakat. Penilaian ini sejalan dengan kesimpulan Tugas Akhir bahwa rendahnya sanksi pidana dalam perkara penggelapan dapat mengurangi efek jera.</w:t>
      </w:r>
    </w:p>
    <w:p w14:paraId="158942F3" w14:textId="77777777"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Sementara itu, dari aspek kepastian hukum, putusan telah memberikan dasar yang jelas karena hakim menerapkan Pasal 372 KUHP setelah menyatakan seluruh unsur delik terbukti. Namun, kepastian hukum tidak seharusnya dipahami hanya sebagai penerapan norma secara formal. Tugas Akhir juga menekankan bahwa hakim perlu mempertimbangkan aspek yuridis normatif, filosofis, dan sosiologis agar putusan mampu mencerminkan keadilan, kepastian hukum, dan kemanfaatan secara seimbang.</w:t>
      </w:r>
    </w:p>
    <w:p w14:paraId="4DDA1FD8" w14:textId="77777777"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 xml:space="preserve">Dengan demikian, analisis terhadap Putusan Pengadilan Negeri Makassar Nomor 597/Pid.B/2021/PN Mks menghasilkan penilaian yang bersifat dua sisi. Pertama, dari aspek pembuktian dan penerapan Pasal 372 KUHP, putusan dapat dinilai telah memiliki dasar hukum dan fakta persidangan yang memadai. Kedua, dari aspek pemidanaan, pidana penjara selama 4 bulan menurut hasil penelitian dipandang belum proporsional dengan akibat perbuatan dan </w:t>
      </w:r>
      <w:r w:rsidRPr="006C1665">
        <w:rPr>
          <w:rFonts w:ascii="Segoe UI" w:hAnsi="Segoe UI" w:cs="Segoe UI"/>
          <w:sz w:val="22"/>
          <w:szCs w:val="22"/>
          <w:lang w:val="sv-SE"/>
        </w:rPr>
        <w:lastRenderedPageBreak/>
        <w:t>kerugian yang dialami korban serta belum optimal dalam mencapai tujuan pencegahan. Tugas Akhir secara tegas menyimpulkan bahwa pertimbangan hakim dalam menyatakan terdakwa bersalah telah dilakukan berdasarkan fakta persidangan, tetapi sanksi pidana yang rendah dinilai tidak memberikan efek jera yang memadai.</w:t>
      </w:r>
    </w:p>
    <w:p w14:paraId="44048AD1" w14:textId="77777777" w:rsidR="006C1665" w:rsidRPr="006C1665"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Oleh karena itu, putusan tersebut dapat dinilai tepat dalam aspek pembuktian tindak pidana, tetapi masih dapat dikritisi dari aspek proporsionalitas pemidanaan. Kritik tersebut bukan berarti meniadakan kebebasan hakim dalam menjatuhkan pidana, melainkan menekankan pentingnya pertimbangan yang lebih seimbang antara kesalahan pelaku, akibat tindak pidana, kerugian korban, serta tujuan pemidanaan. Dengan pendekatan demikian, putusan hakim tidak hanya menghasilkan kepastian hukum formal, tetapi juga mampu mewujudkan keadilan dan kemanfaatan yang lebih substantif.</w:t>
      </w:r>
    </w:p>
    <w:p w14:paraId="1DDB275D" w14:textId="77777777" w:rsidR="001E0508" w:rsidRPr="00EA7E75" w:rsidRDefault="00985560" w:rsidP="00985560">
      <w:pPr>
        <w:pStyle w:val="Heading3"/>
        <w:ind w:left="993" w:hanging="426"/>
      </w:pPr>
      <w:r>
        <w:t>KESIMPULAN</w:t>
      </w:r>
    </w:p>
    <w:p w14:paraId="1B70A25C" w14:textId="77777777" w:rsidR="006C1665" w:rsidRPr="006C1665" w:rsidRDefault="006C1665" w:rsidP="006C1665">
      <w:pPr>
        <w:pStyle w:val="IEEEParagraph"/>
        <w:ind w:left="567" w:right="322" w:firstLine="567"/>
        <w:rPr>
          <w:rFonts w:ascii="Segoe UI" w:hAnsi="Segoe UI" w:cs="Segoe UI"/>
          <w:sz w:val="22"/>
          <w:szCs w:val="22"/>
          <w:lang w:val="sv-SE"/>
        </w:rPr>
      </w:pPr>
      <w:r w:rsidRPr="005939EF">
        <w:rPr>
          <w:rFonts w:ascii="Segoe UI" w:hAnsi="Segoe UI" w:cs="Segoe UI"/>
          <w:sz w:val="22"/>
          <w:szCs w:val="22"/>
          <w:lang w:val="sv-SE"/>
        </w:rPr>
        <w:t xml:space="preserve">Berdasarkan hasil penelitian dan pembahasan mengenai Pertimbangan Hukum Hakim dalam Tindak Pidana Penggelapan Berdasarkan Putusan Pengadilan Negeri Makassar Nomor 597/Pid.B/2021/PN Mks, dapat disimpulkan bahwa pertimbangan hukum hakim dalam perkara tersebut telah didasarkan pada fakta-fakta yang terungkap di persidangan, alat bukti, keterangan saksi, keterangan terdakwa, dan ketentuan Pasal 372 KUHP. Majelis Hakim mempertimbangkan unsur-unsur tindak pidana penggelapan secara bertahap dan menyatakan bahwa seluruh unsur telah terbukti secara sah dan meyakinkan. </w:t>
      </w:r>
      <w:r w:rsidRPr="006C1665">
        <w:rPr>
          <w:rFonts w:ascii="Segoe UI" w:hAnsi="Segoe UI" w:cs="Segoe UI"/>
          <w:sz w:val="22"/>
          <w:szCs w:val="22"/>
          <w:lang w:val="sv-SE"/>
        </w:rPr>
        <w:t>Dengan demikian, dari aspek penerapan hukum dan pembuktian, pertimbangan hakim dapat dinilai telah memiliki dasar yuridis yang memadai.</w:t>
      </w:r>
    </w:p>
    <w:p w14:paraId="136F9093" w14:textId="7BCA501F" w:rsidR="006C1665" w:rsidRPr="005939EF" w:rsidRDefault="006C1665" w:rsidP="006C1665">
      <w:pPr>
        <w:pStyle w:val="IEEEParagraph"/>
        <w:ind w:left="567" w:right="322" w:firstLine="567"/>
        <w:rPr>
          <w:rFonts w:ascii="Segoe UI" w:hAnsi="Segoe UI" w:cs="Segoe UI"/>
          <w:sz w:val="22"/>
          <w:szCs w:val="22"/>
          <w:lang w:val="sv-SE"/>
        </w:rPr>
      </w:pPr>
      <w:r w:rsidRPr="006C1665">
        <w:rPr>
          <w:rFonts w:ascii="Segoe UI" w:hAnsi="Segoe UI" w:cs="Segoe UI"/>
          <w:sz w:val="22"/>
          <w:szCs w:val="22"/>
          <w:lang w:val="sv-SE"/>
        </w:rPr>
        <w:t xml:space="preserve">Adapun terhadap putusan dan pemidanaan, Majelis Hakim menjatuhkan pidana penjara selama 4 (empat) bulan kepada terdakwa. </w:t>
      </w:r>
      <w:r w:rsidRPr="005939EF">
        <w:rPr>
          <w:rFonts w:ascii="Segoe UI" w:hAnsi="Segoe UI" w:cs="Segoe UI"/>
          <w:sz w:val="22"/>
          <w:szCs w:val="22"/>
          <w:lang w:val="sv-SE"/>
        </w:rPr>
        <w:t>Berdasarkan hasil analisis penelitian, pidana tersebut dinilai relatif ringan apabila dikaitkan dengan akibat perbuatan terdakwa dan kerugian yang dialami korban. Oleh karena itu, meskipun putusan telah memenuhi aspek kepastian hukum dalam menyatakan terdakwa bersalah, aspek keadilan dan kemanfaatan, khususnya dalam memberikan efek jera dan respons yang proporsional terhadap kerugian korban, masih dapat dikritisi.</w:t>
      </w:r>
    </w:p>
    <w:p w14:paraId="3A0A1239" w14:textId="77777777" w:rsidR="006C1665" w:rsidRPr="005939EF" w:rsidRDefault="006C1665" w:rsidP="006C1665">
      <w:pPr>
        <w:pStyle w:val="IEEEParagraph"/>
        <w:ind w:left="567" w:right="322" w:firstLine="567"/>
        <w:rPr>
          <w:rFonts w:ascii="Segoe UI" w:hAnsi="Segoe UI" w:cs="Segoe UI"/>
          <w:sz w:val="22"/>
          <w:szCs w:val="22"/>
          <w:lang w:val="sv-SE"/>
        </w:rPr>
      </w:pPr>
      <w:r w:rsidRPr="005939EF">
        <w:rPr>
          <w:rFonts w:ascii="Segoe UI" w:hAnsi="Segoe UI" w:cs="Segoe UI"/>
          <w:sz w:val="22"/>
          <w:szCs w:val="22"/>
          <w:lang w:val="sv-SE"/>
        </w:rPr>
        <w:t>Dengan demikian, penelitian ini menegaskan bahwa ketepatan dalam pembuktian tindak pidana tidak selalu identik dengan optimalnya pemidanaan. Pertimbangan hakim perlu memperhatikan keseimbangan antara aspek yuridis normatif, filosofis, dan sosiologis serta tujuan pemidanaan, sehingga putusan tidak hanya memberikan kepastian hukum, tetapi juga mampu mewujudkan keadilan dan kemanfaatan bagi korban, terdakwa, dan masyarakat.</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721E9F2F"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Amdani, Y. (2015). Implikasi penafsiran undang-undang oleh hakim praperadilan dalam perkara tindak pidana korupsi. </w:t>
      </w:r>
      <w:r w:rsidRPr="006C1665">
        <w:rPr>
          <w:rFonts w:cs="Segoe UI"/>
          <w:i/>
          <w:iCs/>
          <w:sz w:val="20"/>
          <w:szCs w:val="20"/>
          <w:lang w:val="sv-SE"/>
        </w:rPr>
        <w:t>Mimbar Hukum, 27</w:t>
      </w:r>
      <w:r w:rsidRPr="006C1665">
        <w:rPr>
          <w:rFonts w:cs="Segoe UI"/>
          <w:sz w:val="20"/>
          <w:szCs w:val="20"/>
          <w:lang w:val="sv-SE"/>
        </w:rPr>
        <w:t>(3).</w:t>
      </w:r>
    </w:p>
    <w:p w14:paraId="1BCDCC7B"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Arief, B. N. (2016). </w:t>
      </w:r>
      <w:r w:rsidRPr="006C1665">
        <w:rPr>
          <w:rFonts w:cs="Segoe UI"/>
          <w:i/>
          <w:iCs/>
          <w:sz w:val="20"/>
          <w:szCs w:val="20"/>
          <w:lang w:val="sv-SE"/>
        </w:rPr>
        <w:t>Kebijakan hukum pidana</w:t>
      </w:r>
      <w:r w:rsidRPr="006C1665">
        <w:rPr>
          <w:rFonts w:cs="Segoe UI"/>
          <w:sz w:val="20"/>
          <w:szCs w:val="20"/>
          <w:lang w:val="sv-SE"/>
        </w:rPr>
        <w:t>. PT Citra Aditya Bakti.</w:t>
      </w:r>
    </w:p>
    <w:p w14:paraId="412A4EA5"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Arto, M. (n.d.). </w:t>
      </w:r>
      <w:r w:rsidRPr="006C1665">
        <w:rPr>
          <w:rFonts w:cs="Segoe UI"/>
          <w:i/>
          <w:iCs/>
          <w:sz w:val="20"/>
          <w:szCs w:val="20"/>
          <w:lang w:val="sv-SE"/>
        </w:rPr>
        <w:t>Praktek perkara perdata pada pengadilan agama</w:t>
      </w:r>
      <w:r w:rsidRPr="006C1665">
        <w:rPr>
          <w:rFonts w:cs="Segoe UI"/>
          <w:sz w:val="20"/>
          <w:szCs w:val="20"/>
          <w:lang w:val="sv-SE"/>
        </w:rPr>
        <w:t xml:space="preserve"> (5th ed.). Pustaka Pelajar.</w:t>
      </w:r>
    </w:p>
    <w:p w14:paraId="0F17E01E"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Chazawi, A. (2015). </w:t>
      </w:r>
      <w:r w:rsidRPr="006C1665">
        <w:rPr>
          <w:rFonts w:cs="Segoe UI"/>
          <w:i/>
          <w:iCs/>
          <w:sz w:val="20"/>
          <w:szCs w:val="20"/>
          <w:lang w:val="sv-SE"/>
        </w:rPr>
        <w:t>Kejahatan terhadap harta benda</w:t>
      </w:r>
      <w:r w:rsidRPr="006C1665">
        <w:rPr>
          <w:rFonts w:cs="Segoe UI"/>
          <w:sz w:val="20"/>
          <w:szCs w:val="20"/>
          <w:lang w:val="sv-SE"/>
        </w:rPr>
        <w:t>. Bayu Media.</w:t>
      </w:r>
    </w:p>
    <w:p w14:paraId="21FDA003"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Chazawi, A. (2017). </w:t>
      </w:r>
      <w:r w:rsidRPr="006C1665">
        <w:rPr>
          <w:rFonts w:cs="Segoe UI"/>
          <w:i/>
          <w:iCs/>
          <w:sz w:val="20"/>
          <w:szCs w:val="20"/>
          <w:lang w:val="sv-SE"/>
        </w:rPr>
        <w:t>Pelajaran hukum pidana bagian 1: Stelsel pidana, teori-teori pemidanaan &amp; batas berlakunya hukum pidana</w:t>
      </w:r>
      <w:r w:rsidRPr="006C1665">
        <w:rPr>
          <w:rFonts w:cs="Segoe UI"/>
          <w:sz w:val="20"/>
          <w:szCs w:val="20"/>
          <w:lang w:val="sv-SE"/>
        </w:rPr>
        <w:t>. Raja Grafindo.</w:t>
      </w:r>
    </w:p>
    <w:p w14:paraId="19F06703"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Djihadi, H. (2018). Pertimbangan hakim dalam perkara pencemaran nama baik melalui media sosial. </w:t>
      </w:r>
      <w:r w:rsidRPr="006C1665">
        <w:rPr>
          <w:rFonts w:cs="Segoe UI"/>
          <w:i/>
          <w:iCs/>
          <w:sz w:val="20"/>
          <w:szCs w:val="20"/>
          <w:lang w:val="sv-SE"/>
        </w:rPr>
        <w:t>Jurnal Penelitian Hukum De Jure, 18</w:t>
      </w:r>
      <w:r w:rsidRPr="006C1665">
        <w:rPr>
          <w:rFonts w:cs="Segoe UI"/>
          <w:sz w:val="20"/>
          <w:szCs w:val="20"/>
          <w:lang w:val="sv-SE"/>
        </w:rPr>
        <w:t>(1).</w:t>
      </w:r>
    </w:p>
    <w:p w14:paraId="36ACA25A"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Hamzah, A. (2014). </w:t>
      </w:r>
      <w:r w:rsidRPr="006C1665">
        <w:rPr>
          <w:rFonts w:cs="Segoe UI"/>
          <w:i/>
          <w:iCs/>
          <w:sz w:val="20"/>
          <w:szCs w:val="20"/>
          <w:lang w:val="sv-SE"/>
        </w:rPr>
        <w:t>Asas-asas hukum pidana</w:t>
      </w:r>
      <w:r w:rsidRPr="006C1665">
        <w:rPr>
          <w:rFonts w:cs="Segoe UI"/>
          <w:sz w:val="20"/>
          <w:szCs w:val="20"/>
          <w:lang w:val="sv-SE"/>
        </w:rPr>
        <w:t>. Rineka Cipta.</w:t>
      </w:r>
    </w:p>
    <w:p w14:paraId="17DD1C62"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Hendrawati, H. (2016). Aspek penegakan kode etik hakim dalam mewujudkan kekuasaan kehakiman yang bermartabat dan berintegritas. </w:t>
      </w:r>
      <w:r w:rsidRPr="006C1665">
        <w:rPr>
          <w:rFonts w:cs="Segoe UI"/>
          <w:i/>
          <w:iCs/>
          <w:sz w:val="20"/>
          <w:szCs w:val="20"/>
          <w:lang w:val="sv-SE"/>
        </w:rPr>
        <w:t>Varia Justicia, 12</w:t>
      </w:r>
      <w:r w:rsidRPr="006C1665">
        <w:rPr>
          <w:rFonts w:cs="Segoe UI"/>
          <w:sz w:val="20"/>
          <w:szCs w:val="20"/>
          <w:lang w:val="sv-SE"/>
        </w:rPr>
        <w:t>(1).</w:t>
      </w:r>
    </w:p>
    <w:p w14:paraId="18968C3C"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lastRenderedPageBreak/>
        <w:t xml:space="preserve">Harahap, Y. (2014). </w:t>
      </w:r>
      <w:r w:rsidRPr="006C1665">
        <w:rPr>
          <w:rFonts w:cs="Segoe UI"/>
          <w:i/>
          <w:iCs/>
          <w:sz w:val="20"/>
          <w:szCs w:val="20"/>
          <w:lang w:val="sv-SE"/>
        </w:rPr>
        <w:t>Hukum acara perdata</w:t>
      </w:r>
      <w:r w:rsidRPr="006C1665">
        <w:rPr>
          <w:rFonts w:cs="Segoe UI"/>
          <w:sz w:val="20"/>
          <w:szCs w:val="20"/>
          <w:lang w:val="sv-SE"/>
        </w:rPr>
        <w:t>. Sinar Grafika.</w:t>
      </w:r>
    </w:p>
    <w:p w14:paraId="628E88DA"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Ilyas, A. (2012). </w:t>
      </w:r>
      <w:r w:rsidRPr="006C1665">
        <w:rPr>
          <w:rFonts w:cs="Segoe UI"/>
          <w:i/>
          <w:iCs/>
          <w:sz w:val="20"/>
          <w:szCs w:val="20"/>
          <w:lang w:val="sv-SE"/>
        </w:rPr>
        <w:t>Asas-asas hukum pidana: Memahami tindak pidana dan pertanggungjawaban pidana sebagai syarat pemidanaan</w:t>
      </w:r>
      <w:r w:rsidRPr="006C1665">
        <w:rPr>
          <w:rFonts w:cs="Segoe UI"/>
          <w:sz w:val="20"/>
          <w:szCs w:val="20"/>
          <w:lang w:val="sv-SE"/>
        </w:rPr>
        <w:t>. Rangkang Education Yogyakarta &amp; PuKAP Indonesia.</w:t>
      </w:r>
    </w:p>
    <w:p w14:paraId="1124EFBC"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Indrawan. (2013). </w:t>
      </w:r>
      <w:r w:rsidRPr="006C1665">
        <w:rPr>
          <w:rFonts w:cs="Segoe UI"/>
          <w:i/>
          <w:iCs/>
          <w:sz w:val="20"/>
          <w:szCs w:val="20"/>
          <w:lang w:val="sv-SE"/>
        </w:rPr>
        <w:t>Kajian yuridis terhadap tindak pidana penggelapan kendaraan bermotor roda dua (studi kasus di Pengadilan Negeri Sukoharjo)</w:t>
      </w:r>
      <w:r w:rsidRPr="006C1665">
        <w:rPr>
          <w:rFonts w:cs="Segoe UI"/>
          <w:sz w:val="20"/>
          <w:szCs w:val="20"/>
          <w:lang w:val="sv-SE"/>
        </w:rPr>
        <w:t>. Universitas Sebelas Maret.</w:t>
      </w:r>
    </w:p>
    <w:p w14:paraId="510DBF49"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Lamintang, P. A. F., &amp; Samosir, C. D. (2010). </w:t>
      </w:r>
      <w:r w:rsidRPr="006C1665">
        <w:rPr>
          <w:rFonts w:cs="Segoe UI"/>
          <w:i/>
          <w:iCs/>
          <w:sz w:val="20"/>
          <w:szCs w:val="20"/>
          <w:lang w:val="sv-SE"/>
        </w:rPr>
        <w:t>Delik-delik khusus: Kejahatan yang ditujukan terhadap hak dan lain-lain hak yang timbul dari hak milik</w:t>
      </w:r>
      <w:r w:rsidRPr="006C1665">
        <w:rPr>
          <w:rFonts w:cs="Segoe UI"/>
          <w:sz w:val="20"/>
          <w:szCs w:val="20"/>
          <w:lang w:val="sv-SE"/>
        </w:rPr>
        <w:t>. Nuansa Aulia.</w:t>
      </w:r>
    </w:p>
    <w:p w14:paraId="17703202"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Lilik, M. (2016). </w:t>
      </w:r>
      <w:r w:rsidRPr="006C1665">
        <w:rPr>
          <w:rFonts w:cs="Segoe UI"/>
          <w:i/>
          <w:iCs/>
          <w:sz w:val="20"/>
          <w:szCs w:val="20"/>
          <w:lang w:val="sv-SE"/>
        </w:rPr>
        <w:t>Hukum acara pidana: Suatu tinjauan khusus terhadap surat dakwaan, eksepsi dan putusan peradilan</w:t>
      </w:r>
      <w:r w:rsidRPr="006C1665">
        <w:rPr>
          <w:rFonts w:cs="Segoe UI"/>
          <w:sz w:val="20"/>
          <w:szCs w:val="20"/>
          <w:lang w:val="sv-SE"/>
        </w:rPr>
        <w:t>. PT Citra Aditya Bakti.</w:t>
      </w:r>
    </w:p>
    <w:p w14:paraId="463B2C13"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Marpaung, L. (2016). </w:t>
      </w:r>
      <w:r w:rsidRPr="006C1665">
        <w:rPr>
          <w:rFonts w:cs="Segoe UI"/>
          <w:i/>
          <w:iCs/>
          <w:sz w:val="20"/>
          <w:szCs w:val="20"/>
          <w:lang w:val="sv-SE"/>
        </w:rPr>
        <w:t>Asas, teori, praktik hukum pidana</w:t>
      </w:r>
      <w:r w:rsidRPr="006C1665">
        <w:rPr>
          <w:rFonts w:cs="Segoe UI"/>
          <w:sz w:val="20"/>
          <w:szCs w:val="20"/>
          <w:lang w:val="sv-SE"/>
        </w:rPr>
        <w:t>. Sinar Grafika.</w:t>
      </w:r>
    </w:p>
    <w:p w14:paraId="6716BB54"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Mulyadi, L. (2009). </w:t>
      </w:r>
      <w:r w:rsidRPr="006C1665">
        <w:rPr>
          <w:rFonts w:cs="Segoe UI"/>
          <w:i/>
          <w:iCs/>
          <w:sz w:val="20"/>
          <w:szCs w:val="20"/>
          <w:lang w:val="sv-SE"/>
        </w:rPr>
        <w:t>Pergeseran perspektif dan praktik dari Mahkamah Agung mengenai putusan</w:t>
      </w:r>
      <w:r w:rsidRPr="006C1665">
        <w:rPr>
          <w:rFonts w:cs="Segoe UI"/>
          <w:sz w:val="20"/>
          <w:szCs w:val="20"/>
          <w:lang w:val="sv-SE"/>
        </w:rPr>
        <w:t>. Citra Aditya Bakti.</w:t>
      </w:r>
    </w:p>
    <w:p w14:paraId="6E1D6AF7"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Natsir, M. A. (2014). </w:t>
      </w:r>
      <w:r w:rsidRPr="006C1665">
        <w:rPr>
          <w:rFonts w:cs="Segoe UI"/>
          <w:i/>
          <w:iCs/>
          <w:sz w:val="20"/>
          <w:szCs w:val="20"/>
          <w:lang w:val="sv-SE"/>
        </w:rPr>
        <w:t>Hermeneutika putusan hakim</w:t>
      </w:r>
      <w:r w:rsidRPr="006C1665">
        <w:rPr>
          <w:rFonts w:cs="Segoe UI"/>
          <w:sz w:val="20"/>
          <w:szCs w:val="20"/>
          <w:lang w:val="sv-SE"/>
        </w:rPr>
        <w:t>. UII Press.</w:t>
      </w:r>
    </w:p>
    <w:p w14:paraId="799D83AF"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Nasution, B. J. (2015). </w:t>
      </w:r>
      <w:r w:rsidRPr="006C1665">
        <w:rPr>
          <w:rFonts w:cs="Segoe UI"/>
          <w:i/>
          <w:iCs/>
          <w:sz w:val="20"/>
          <w:szCs w:val="20"/>
          <w:lang w:val="sv-SE"/>
        </w:rPr>
        <w:t>Metode penelitian ilmu hukum</w:t>
      </w:r>
      <w:r w:rsidRPr="006C1665">
        <w:rPr>
          <w:rFonts w:cs="Segoe UI"/>
          <w:sz w:val="20"/>
          <w:szCs w:val="20"/>
          <w:lang w:val="sv-SE"/>
        </w:rPr>
        <w:t>. Mandar Maju.</w:t>
      </w:r>
    </w:p>
    <w:p w14:paraId="2AD1B774"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Pristiwati, E. (2013). Konsekuensi yang timbul dari asas legalitas dalam hukum pidana materiil. </w:t>
      </w:r>
      <w:r w:rsidRPr="006C1665">
        <w:rPr>
          <w:rFonts w:cs="Segoe UI"/>
          <w:i/>
          <w:iCs/>
          <w:sz w:val="20"/>
          <w:szCs w:val="20"/>
          <w:lang w:val="sv-SE"/>
        </w:rPr>
        <w:t>Syariah: Jurnal Hukum dan Pemikiran, 12</w:t>
      </w:r>
      <w:r w:rsidRPr="006C1665">
        <w:rPr>
          <w:rFonts w:cs="Segoe UI"/>
          <w:sz w:val="20"/>
          <w:szCs w:val="20"/>
          <w:lang w:val="sv-SE"/>
        </w:rPr>
        <w:t>(1).</w:t>
      </w:r>
    </w:p>
    <w:p w14:paraId="4A779FC0"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Soedarto. (2015). </w:t>
      </w:r>
      <w:r w:rsidRPr="006C1665">
        <w:rPr>
          <w:rFonts w:cs="Segoe UI"/>
          <w:i/>
          <w:iCs/>
          <w:sz w:val="20"/>
          <w:szCs w:val="20"/>
          <w:lang w:val="sv-SE"/>
        </w:rPr>
        <w:t>Hukum pidana I</w:t>
      </w:r>
      <w:r w:rsidRPr="006C1665">
        <w:rPr>
          <w:rFonts w:cs="Segoe UI"/>
          <w:sz w:val="20"/>
          <w:szCs w:val="20"/>
          <w:lang w:val="sv-SE"/>
        </w:rPr>
        <w:t>. Yayasan Sudarto.</w:t>
      </w:r>
    </w:p>
    <w:p w14:paraId="6A3874F2"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Soekanto, S. (2018). </w:t>
      </w:r>
      <w:r w:rsidRPr="006C1665">
        <w:rPr>
          <w:rFonts w:cs="Segoe UI"/>
          <w:i/>
          <w:iCs/>
          <w:sz w:val="20"/>
          <w:szCs w:val="20"/>
          <w:lang w:val="sv-SE"/>
        </w:rPr>
        <w:t>Faktor-faktor yang mempengaruhi penegakan hukum</w:t>
      </w:r>
      <w:r w:rsidRPr="006C1665">
        <w:rPr>
          <w:rFonts w:cs="Segoe UI"/>
          <w:sz w:val="20"/>
          <w:szCs w:val="20"/>
          <w:lang w:val="sv-SE"/>
        </w:rPr>
        <w:t xml:space="preserve"> (Cet. 2). Rajawali Pers.</w:t>
      </w:r>
    </w:p>
    <w:p w14:paraId="12EB4CD8"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Soesilo. (2010). </w:t>
      </w:r>
      <w:r w:rsidRPr="006C1665">
        <w:rPr>
          <w:rFonts w:cs="Segoe UI"/>
          <w:i/>
          <w:iCs/>
          <w:sz w:val="20"/>
          <w:szCs w:val="20"/>
          <w:lang w:val="sv-SE"/>
        </w:rPr>
        <w:t>Kitab undang-undang hukum pidana (KUHP) serta komentar-komentarnya lengkap pasal demi pasal</w:t>
      </w:r>
      <w:r w:rsidRPr="006C1665">
        <w:rPr>
          <w:rFonts w:cs="Segoe UI"/>
          <w:sz w:val="20"/>
          <w:szCs w:val="20"/>
          <w:lang w:val="sv-SE"/>
        </w:rPr>
        <w:t>. Politeia.</w:t>
      </w:r>
    </w:p>
    <w:p w14:paraId="67EFC7A5"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Sudaryono, &amp; Surbakti, N. (2018). </w:t>
      </w:r>
      <w:r w:rsidRPr="006C1665">
        <w:rPr>
          <w:rFonts w:cs="Segoe UI"/>
          <w:i/>
          <w:iCs/>
          <w:sz w:val="20"/>
          <w:szCs w:val="20"/>
          <w:lang w:val="sv-SE"/>
        </w:rPr>
        <w:t>Buku pegangan kuliah hukum pidana</w:t>
      </w:r>
      <w:r w:rsidRPr="006C1665">
        <w:rPr>
          <w:rFonts w:cs="Segoe UI"/>
          <w:sz w:val="20"/>
          <w:szCs w:val="20"/>
          <w:lang w:val="sv-SE"/>
        </w:rPr>
        <w:t>. UMS.</w:t>
      </w:r>
    </w:p>
    <w:p w14:paraId="74CAE239"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Tongat. (2016). </w:t>
      </w:r>
      <w:r w:rsidRPr="006C1665">
        <w:rPr>
          <w:rFonts w:cs="Segoe UI"/>
          <w:i/>
          <w:iCs/>
          <w:sz w:val="20"/>
          <w:szCs w:val="20"/>
          <w:lang w:val="sv-SE"/>
        </w:rPr>
        <w:t>Hukum pidana materiil</w:t>
      </w:r>
      <w:r w:rsidRPr="006C1665">
        <w:rPr>
          <w:rFonts w:cs="Segoe UI"/>
          <w:sz w:val="20"/>
          <w:szCs w:val="20"/>
          <w:lang w:val="sv-SE"/>
        </w:rPr>
        <w:t>. UMM Press.</w:t>
      </w:r>
    </w:p>
    <w:p w14:paraId="2655AA62"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sv-SE"/>
        </w:rPr>
        <w:t xml:space="preserve">Zainal, A. F. (2016). </w:t>
      </w:r>
      <w:r w:rsidRPr="006C1665">
        <w:rPr>
          <w:rFonts w:cs="Segoe UI"/>
          <w:i/>
          <w:iCs/>
          <w:sz w:val="20"/>
          <w:szCs w:val="20"/>
          <w:lang w:val="sv-SE"/>
        </w:rPr>
        <w:t>Hukum pidana I</w:t>
      </w:r>
      <w:r w:rsidRPr="006C1665">
        <w:rPr>
          <w:rFonts w:cs="Segoe UI"/>
          <w:sz w:val="20"/>
          <w:szCs w:val="20"/>
          <w:lang w:val="sv-SE"/>
        </w:rPr>
        <w:t>. Sinar Grafika.</w:t>
      </w:r>
    </w:p>
    <w:p w14:paraId="36637CA7"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6C1665">
        <w:rPr>
          <w:rFonts w:cs="Segoe UI"/>
          <w:sz w:val="20"/>
          <w:szCs w:val="20"/>
          <w:lang w:val="en-ID"/>
        </w:rPr>
        <w:t xml:space="preserve">Republik Indonesia. (2009). </w:t>
      </w:r>
      <w:r w:rsidRPr="006C1665">
        <w:rPr>
          <w:rFonts w:cs="Segoe UI"/>
          <w:i/>
          <w:iCs/>
          <w:sz w:val="20"/>
          <w:szCs w:val="20"/>
          <w:lang w:val="en-ID"/>
        </w:rPr>
        <w:t>Undang-Undang Nomor 48 Tahun 2009 tentang Kekuasaan Kehakiman</w:t>
      </w:r>
      <w:r w:rsidRPr="006C1665">
        <w:rPr>
          <w:rFonts w:cs="Segoe UI"/>
          <w:sz w:val="20"/>
          <w:szCs w:val="20"/>
          <w:lang w:val="en-ID"/>
        </w:rPr>
        <w:t>.</w:t>
      </w:r>
    </w:p>
    <w:p w14:paraId="21B1D249" w14:textId="77777777" w:rsidR="006C1665" w:rsidRPr="006C1665" w:rsidRDefault="006C1665" w:rsidP="006C1665">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6C1665">
        <w:rPr>
          <w:rFonts w:cs="Segoe UI"/>
          <w:sz w:val="20"/>
          <w:szCs w:val="20"/>
          <w:lang w:val="en-ID"/>
        </w:rPr>
        <w:t xml:space="preserve">Republik Indonesia. </w:t>
      </w:r>
      <w:r w:rsidRPr="006C1665">
        <w:rPr>
          <w:rFonts w:cs="Segoe UI"/>
          <w:sz w:val="20"/>
          <w:szCs w:val="20"/>
          <w:lang w:val="sv-SE"/>
        </w:rPr>
        <w:t xml:space="preserve">(1946). </w:t>
      </w:r>
      <w:r w:rsidRPr="006C1665">
        <w:rPr>
          <w:rFonts w:cs="Segoe UI"/>
          <w:i/>
          <w:iCs/>
          <w:sz w:val="20"/>
          <w:szCs w:val="20"/>
          <w:lang w:val="sv-SE"/>
        </w:rPr>
        <w:t>Undang-Undang Nomor 1 Tahun 1946 tentang Peraturan Hukum Pidana</w:t>
      </w:r>
      <w:r w:rsidRPr="006C1665">
        <w:rPr>
          <w:rFonts w:cs="Segoe UI"/>
          <w:sz w:val="20"/>
          <w:szCs w:val="20"/>
          <w:lang w:val="sv-SE"/>
        </w:rPr>
        <w:t>.</w:t>
      </w:r>
    </w:p>
    <w:p w14:paraId="4936DB38" w14:textId="4B7B986E" w:rsidR="006C1665" w:rsidRPr="006C1665" w:rsidRDefault="006C1665">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6C1665">
        <w:rPr>
          <w:rFonts w:cs="Segoe UI"/>
          <w:sz w:val="20"/>
          <w:szCs w:val="20"/>
        </w:rPr>
        <w:t xml:space="preserve">Pengadilan Negeri Makassar. (2021). </w:t>
      </w:r>
      <w:r w:rsidRPr="006C1665">
        <w:rPr>
          <w:rFonts w:cs="Segoe UI"/>
          <w:i/>
          <w:iCs/>
          <w:sz w:val="20"/>
          <w:szCs w:val="20"/>
        </w:rPr>
        <w:t>Putusan Nomor 597/Pid.B/2021/PN Mks</w:t>
      </w:r>
      <w:r w:rsidRPr="006C1665">
        <w:rPr>
          <w:rFonts w:cs="Segoe UI"/>
          <w:sz w:val="20"/>
          <w:szCs w:val="20"/>
        </w:rPr>
        <w:t>.</w:t>
      </w:r>
    </w:p>
    <w:sectPr w:rsidR="006C1665" w:rsidRPr="006C1665"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F0B0D" w14:textId="77777777" w:rsidR="00F12805" w:rsidRDefault="00F12805" w:rsidP="009B0AF6">
      <w:pPr>
        <w:spacing w:after="0" w:line="240" w:lineRule="auto"/>
      </w:pPr>
      <w:r>
        <w:separator/>
      </w:r>
    </w:p>
  </w:endnote>
  <w:endnote w:type="continuationSeparator" w:id="0">
    <w:p w14:paraId="1AFE6859" w14:textId="77777777" w:rsidR="00F12805" w:rsidRDefault="00F12805"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3CC0E0AD"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3A41CA" w:rsidRPr="003A41CA">
          <w:rPr>
            <w:rFonts w:cs="Segoe UI"/>
            <w:noProof/>
            <w:sz w:val="18"/>
            <w:szCs w:val="18"/>
            <w:lang w:val="fi-FI"/>
          </w:rPr>
          <w:t>Rimpan Sere Tanggulungan</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D9F9C" w14:textId="77777777" w:rsidR="00F12805" w:rsidRDefault="00F12805" w:rsidP="009B0AF6">
      <w:pPr>
        <w:spacing w:after="0" w:line="240" w:lineRule="auto"/>
      </w:pPr>
      <w:r>
        <w:separator/>
      </w:r>
    </w:p>
  </w:footnote>
  <w:footnote w:type="continuationSeparator" w:id="0">
    <w:p w14:paraId="304367DA" w14:textId="77777777" w:rsidR="00F12805" w:rsidRDefault="00F12805"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A17F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658E1"/>
    <w:rsid w:val="00676A1B"/>
    <w:rsid w:val="00685B04"/>
    <w:rsid w:val="006C1665"/>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06DCF"/>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3722F"/>
    <w:rsid w:val="00E37C1B"/>
    <w:rsid w:val="00E538A0"/>
    <w:rsid w:val="00E854CC"/>
    <w:rsid w:val="00EA7010"/>
    <w:rsid w:val="00EA7E75"/>
    <w:rsid w:val="00EB308B"/>
    <w:rsid w:val="00ED73C9"/>
    <w:rsid w:val="00EF065F"/>
    <w:rsid w:val="00EF2199"/>
    <w:rsid w:val="00F12805"/>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4862</Words>
  <Characters>27720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7</cp:revision>
  <cp:lastPrinted>2023-04-17T18:59:00Z</cp:lastPrinted>
  <dcterms:created xsi:type="dcterms:W3CDTF">2026-01-24T05:16:00Z</dcterms:created>
  <dcterms:modified xsi:type="dcterms:W3CDTF">2026-08-12T10:45:00Z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