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57ED1890" w:rsidR="00676A1B" w:rsidRPr="00645ED0" w:rsidRDefault="00645ED0" w:rsidP="00100027">
      <w:pPr>
        <w:tabs>
          <w:tab w:val="right" w:pos="9026"/>
        </w:tabs>
        <w:spacing w:after="0" w:line="240" w:lineRule="auto"/>
        <w:jc w:val="center"/>
        <w:rPr>
          <w:rFonts w:cs="Segoe UI"/>
          <w:b/>
          <w:sz w:val="30"/>
          <w:szCs w:val="30"/>
        </w:rPr>
      </w:pPr>
      <w:r w:rsidRPr="00645ED0">
        <w:rPr>
          <w:rFonts w:cs="Segoe UI"/>
          <w:b/>
          <w:bCs/>
          <w:sz w:val="30"/>
          <w:szCs w:val="30"/>
        </w:rPr>
        <w:t>Implementasi Asas Kebebasan Berkontrak dan Keadilan Kontraktual dalam Perjanjian Telekomunikasi</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39FA8DB0" w:rsidR="00AC334E" w:rsidRPr="00886EB8" w:rsidRDefault="00645ED0" w:rsidP="00C00D09">
      <w:pPr>
        <w:tabs>
          <w:tab w:val="right" w:pos="9026"/>
        </w:tabs>
        <w:spacing w:after="0" w:line="240" w:lineRule="auto"/>
        <w:rPr>
          <w:rFonts w:cs="Segoe UI"/>
          <w:b/>
          <w:bCs/>
          <w:sz w:val="24"/>
          <w:szCs w:val="24"/>
          <w:lang w:val="fi-FI"/>
        </w:rPr>
      </w:pPr>
      <w:r w:rsidRPr="00645ED0">
        <w:rPr>
          <w:rFonts w:cs="Segoe UI"/>
          <w:b/>
          <w:bCs/>
          <w:sz w:val="24"/>
          <w:szCs w:val="24"/>
          <w:lang w:val="fi-FI"/>
        </w:rPr>
        <w:t xml:space="preserve">Rudy </w:t>
      </w:r>
      <w:proofErr w:type="spellStart"/>
      <w:r w:rsidRPr="00645ED0">
        <w:rPr>
          <w:rFonts w:cs="Segoe UI"/>
          <w:b/>
          <w:bCs/>
          <w:sz w:val="24"/>
          <w:szCs w:val="24"/>
          <w:lang w:val="fi-FI"/>
        </w:rPr>
        <w:t>Arianto</w:t>
      </w:r>
      <w:proofErr w:type="spellEnd"/>
      <w:r w:rsidRPr="00645ED0">
        <w:rPr>
          <w:rFonts w:cs="Segoe UI"/>
          <w:b/>
          <w:bCs/>
          <w:sz w:val="24"/>
          <w:szCs w:val="24"/>
          <w:lang w:val="fi-FI"/>
        </w:rPr>
        <w:t xml:space="preserve"> Krikhoff</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741AFFF0" w:rsidR="00BE12F5" w:rsidRPr="007677D4" w:rsidRDefault="00645ED0" w:rsidP="00241D17">
      <w:pPr>
        <w:tabs>
          <w:tab w:val="right" w:pos="9026"/>
        </w:tabs>
        <w:spacing w:after="0" w:line="240" w:lineRule="auto"/>
        <w:rPr>
          <w:rFonts w:cs="Segoe UI"/>
          <w:i/>
          <w:sz w:val="18"/>
          <w:szCs w:val="18"/>
          <w:lang w:val="en-US"/>
        </w:rPr>
      </w:pPr>
      <w:r>
        <w:rPr>
          <w:rFonts w:cs="Segoe UI"/>
          <w:i/>
          <w:sz w:val="18"/>
          <w:szCs w:val="18"/>
          <w:lang w:val="en-US"/>
        </w:rPr>
        <w:t>rudyarianto</w:t>
      </w:r>
      <w:r w:rsidR="006F20C0">
        <w:rPr>
          <w:rFonts w:cs="Segoe UI"/>
          <w:i/>
          <w:sz w:val="18"/>
          <w:szCs w:val="18"/>
          <w:lang w:val="en-US"/>
        </w:rPr>
        <w:t>@ukipaulus.ac.id (</w:t>
      </w:r>
      <w:proofErr w:type="spellStart"/>
      <w:r w:rsidR="006F20C0">
        <w:rPr>
          <w:rFonts w:cs="Segoe UI"/>
          <w:i/>
          <w:sz w:val="18"/>
          <w:szCs w:val="18"/>
          <w:lang w:val="en-US"/>
        </w:rPr>
        <w:t>Korespondensi</w:t>
      </w:r>
      <w:proofErr w:type="spellEnd"/>
      <w:r w:rsidR="006F20C0">
        <w:rPr>
          <w:rFonts w:cs="Segoe UI"/>
          <w:i/>
          <w:sz w:val="18"/>
          <w:szCs w:val="18"/>
          <w:lang w:val="en-US"/>
        </w:rPr>
        <w:t>)*</w:t>
      </w:r>
    </w:p>
    <w:p w14:paraId="57825679"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4898AD21" w:rsidR="00417363" w:rsidRDefault="008616DC" w:rsidP="00886EB8">
            <w:pPr>
              <w:spacing w:after="0" w:line="240" w:lineRule="auto"/>
              <w:jc w:val="left"/>
              <w:rPr>
                <w:rFonts w:eastAsia="Times New Roman" w:cs="Segoe UI"/>
                <w:i/>
                <w:iCs/>
                <w:color w:val="181717"/>
                <w:sz w:val="20"/>
                <w:szCs w:val="20"/>
                <w:lang w:val="en-US"/>
              </w:rPr>
            </w:pPr>
            <w:r w:rsidRPr="008616DC">
              <w:rPr>
                <w:rFonts w:eastAsia="Times New Roman" w:cs="Segoe UI"/>
                <w:i/>
                <w:iCs/>
                <w:color w:val="181717"/>
                <w:sz w:val="20"/>
                <w:szCs w:val="20"/>
              </w:rPr>
              <w:t>freedom of contract, contractual justice, telecommunications agreement, bargaining power, good faith</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5C98D6DD" w:rsidR="00241D17" w:rsidRPr="00C676AF" w:rsidRDefault="008616DC" w:rsidP="00886EB8">
            <w:pPr>
              <w:spacing w:after="0" w:line="240" w:lineRule="auto"/>
              <w:jc w:val="left"/>
              <w:rPr>
                <w:rFonts w:eastAsia="Times New Roman" w:cs="Segoe UI"/>
                <w:i/>
                <w:color w:val="181717"/>
                <w:sz w:val="20"/>
                <w:szCs w:val="20"/>
              </w:rPr>
            </w:pPr>
            <w:r w:rsidRPr="008616DC">
              <w:rPr>
                <w:rFonts w:eastAsia="Times New Roman" w:cs="Segoe UI"/>
                <w:i/>
                <w:iCs/>
                <w:color w:val="181717"/>
                <w:sz w:val="20"/>
                <w:szCs w:val="20"/>
              </w:rPr>
              <w:t>kebebasan berkontrak, keadilan kontraktual, perjanjian telekomunikasi, posisi tawar, itikad baik</w:t>
            </w:r>
          </w:p>
        </w:tc>
        <w:tc>
          <w:tcPr>
            <w:tcW w:w="3829" w:type="pct"/>
            <w:tcBorders>
              <w:top w:val="single" w:sz="4" w:space="0" w:color="auto"/>
              <w:bottom w:val="single" w:sz="4" w:space="0" w:color="auto"/>
            </w:tcBorders>
          </w:tcPr>
          <w:p w14:paraId="03CCEDFA" w14:textId="2892AA03"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8616DC" w:rsidRPr="008616DC">
              <w:rPr>
                <w:rFonts w:cs="Segoe UI"/>
                <w:i/>
                <w:iCs/>
                <w:color w:val="000000"/>
                <w:sz w:val="20"/>
                <w:szCs w:val="20"/>
                <w:shd w:val="clear" w:color="auto" w:fill="FFFFFF"/>
              </w:rPr>
              <w:t>This study aims to analyze the implementation of the principle of freedom of contract and contractual justice in telecommunications cooperation agreements, particularly in the agreement between PT Telekomunikasi Seluler and PT Samekh Chet Abadi. This study employs normative-empirical legal research using statutory, document and literature, and interview approaches. Primary and secondary data were analyzed qualitatively and presented descriptively. The findings indicate that the principle of freedom of contract provides the parties with flexibility to determine the form, content, terms, rights, and obligations under a cooperation agreement. However, such freedom is not absolute and remains subject to legal provisions, good faith, reasonableness, public order, morality, and the principle of justice. The analysis of the cooperation agreement between PT Telekomunikasi Seluler and PT Samekh Chet Abadi reveals indications of an imbalance in bargaining power and risk allocation, including the absence of a commitment regarding the quantity and exclusivity of work for the partner, certain unilateral termination rights granted to Telkomsel, and the relatively substantial obligations and liabilities imposed on the partner. Therefore, the formal implementation of freedom of contract does not entirely reflect substantive contractual justice. A responsible application of freedom of contract is required by taking into account the balance of bargaining positions, the proportionality of rights and obligations, and the principles of good faith and reasonableness.</w:t>
            </w:r>
          </w:p>
          <w:p w14:paraId="078696A2" w14:textId="77777777" w:rsidR="00886EB8" w:rsidRDefault="00886EB8" w:rsidP="001E0508">
            <w:pPr>
              <w:spacing w:after="0" w:line="240" w:lineRule="auto"/>
              <w:rPr>
                <w:rFonts w:eastAsia="Times New Roman" w:cs="Segoe UI"/>
                <w:b/>
                <w:iCs/>
                <w:sz w:val="20"/>
                <w:szCs w:val="20"/>
              </w:rPr>
            </w:pPr>
          </w:p>
          <w:p w14:paraId="514D684B" w14:textId="223F9F0F"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8616DC" w:rsidRPr="008616DC">
              <w:rPr>
                <w:rFonts w:cs="Segoe UI"/>
                <w:color w:val="000000"/>
                <w:sz w:val="20"/>
                <w:szCs w:val="20"/>
                <w:shd w:val="clear" w:color="auto" w:fill="FFFFFF"/>
              </w:rPr>
              <w:t xml:space="preserve">Penelitian ini bertujuan untuk menganalisis implementasi asas kebebasan berkontrak dan keadilan kontraktual dalam perjanjian kerja sama di bidang telekomunikasi, khususnya dalam perjanjian antara PT Telekomunikasi Seluler dan PT Samekh Chet Abadi. Penelitian ini menggunakan metode penelitian hukum normatif-empiris dengan pendekatan perundang-undangan, dokumen dan literatur, serta wawancara. Data primer dan data sekunder dianalisis secara kualitatif dan diuraikan secara deskriptif. Hasil penelitian menunjukkan bahwa asas kebebasan berkontrak memberikan keleluasaan kepada para pihak untuk menentukan </w:t>
            </w:r>
            <w:r w:rsidR="008616DC" w:rsidRPr="008616DC">
              <w:rPr>
                <w:rFonts w:cs="Segoe UI"/>
                <w:color w:val="000000"/>
                <w:sz w:val="20"/>
                <w:szCs w:val="20"/>
                <w:shd w:val="clear" w:color="auto" w:fill="FFFFFF"/>
              </w:rPr>
              <w:lastRenderedPageBreak/>
              <w:t>bentuk, isi, syarat, serta hak dan kewajiban dalam perjanjian kerja sama. Namun, kebebasan tersebut tidak bersifat mutlak dan tetap dibatasi oleh ketentuan hukum, itikad baik, kepatutan, ketertiban umum, kesusilaan, dan prinsip keadilan. Analisis terhadap perjanjian antara PT Telekomunikasi Seluler dan PT Samekh Chet Abadi menunjukkan adanya indikasi ketidakseimbangan dalam posisi tawar dan distribusi risiko, antara lain melalui tidak adanya komitmen kuantitas dan eksklusivitas bagi Rekanan, kewenangan tertentu Telkomsel untuk mengakhiri kontrak secara sepihak, serta pembebanan kewajiban dan tanggung jawab yang relatif besar kepada Rekanan. Dengan demikian, implementasi kebebasan berkontrak secara formal belum sepenuhnya mencerminkan keadilan kontraktual secara substantif. Diperlukan penerapan kebebasan berkontrak yang bertanggung jawab dengan memperhatikan keseimbangan posisi para pihak, proporsionalitas hak dan kewajiban, serta prinsip itikad baik dan kepatutan.</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786C21E"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Dalam hukum perjanjian, asas kebebasan berkontrak merupakan salah satu prinsip fundamental yang memberikan ruang kepada para pihak untuk menentukan apakah akan membuat perjanjian, dengan siapa perjanjian dibuat, serta menentukan isi, bentuk, dan syarat-syarat yang disepakati. Dalam hukum perdata Indonesia, prinsip tersebut tercermin dalam Pasal 1338 ayat (1) KUH Perdata yang menegaskan bahwa perjanjian yang dibuat secara sah berlaku sebagai undang-undang bagi para pihak yang membuatnya. Kebebasan tersebut memberikan dasar bagi para pihak untuk mengatur hubungan hukum sesuai kepentingan masing-masing.</w:t>
      </w:r>
    </w:p>
    <w:p w14:paraId="55334F75"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Meskipun demikian, kebebasan berkontrak tidak dapat dipahami sebagai kebebasan yang bersifat mutlak. Pelaksanaannya tetap dibatasi oleh ketentuan hukum, kesusilaan, dan ketertiban umum. Pasal 1320 KUH Perdata mensyaratkan adanya kesepakatan, kecakapan, suatu hal tertentu, dan sebab yang halal sebagai syarat sah perjanjian, sedangkan Pasal 1337 membatasi sebab perjanjian yang bertentangan dengan undang-undang, kesusilaan, atau ketertiban umum. Dengan demikian, kebebasan para pihak dalam menentukan isi kontrak tetap harus ditempatkan dalam batas-batas hukum yang menjamin keabsahan dan kepatutan hubungan kontraktual. </w:t>
      </w:r>
    </w:p>
    <w:p w14:paraId="52B9E946"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Persoalan kebebasan berkontrak semakin kompleks ketika terdapat ketidakseimbangan posisi tawar (</w:t>
      </w:r>
      <w:r w:rsidRPr="00645ED0">
        <w:rPr>
          <w:rFonts w:ascii="Segoe UI" w:hAnsi="Segoe UI" w:cs="Segoe UI"/>
          <w:i/>
          <w:iCs/>
          <w:sz w:val="22"/>
          <w:szCs w:val="22"/>
          <w:lang w:val="id-ID"/>
        </w:rPr>
        <w:t>bargaining position</w:t>
      </w:r>
      <w:r w:rsidRPr="00645ED0">
        <w:rPr>
          <w:rFonts w:ascii="Segoe UI" w:hAnsi="Segoe UI" w:cs="Segoe UI"/>
          <w:sz w:val="22"/>
          <w:szCs w:val="22"/>
          <w:lang w:val="id-ID"/>
        </w:rPr>
        <w:t>) antara para pihak. Dalam praktik perjanjian baku (</w:t>
      </w:r>
      <w:r w:rsidRPr="00645ED0">
        <w:rPr>
          <w:rFonts w:ascii="Segoe UI" w:hAnsi="Segoe UI" w:cs="Segoe UI"/>
          <w:i/>
          <w:iCs/>
          <w:sz w:val="22"/>
          <w:szCs w:val="22"/>
          <w:lang w:val="id-ID"/>
        </w:rPr>
        <w:t>standard contract</w:t>
      </w:r>
      <w:r w:rsidRPr="00645ED0">
        <w:rPr>
          <w:rFonts w:ascii="Segoe UI" w:hAnsi="Segoe UI" w:cs="Segoe UI"/>
          <w:sz w:val="22"/>
          <w:szCs w:val="22"/>
          <w:lang w:val="id-ID"/>
        </w:rPr>
        <w:t xml:space="preserve">), pihak yang memiliki posisi lebih kuat dapat menentukan sebagian besar isi perjanjian sehingga pihak lainnya berada dalam kondisi </w:t>
      </w:r>
      <w:r w:rsidRPr="00645ED0">
        <w:rPr>
          <w:rFonts w:ascii="Segoe UI" w:hAnsi="Segoe UI" w:cs="Segoe UI"/>
          <w:i/>
          <w:iCs/>
          <w:sz w:val="22"/>
          <w:szCs w:val="22"/>
          <w:lang w:val="id-ID"/>
        </w:rPr>
        <w:t>take it or leave it</w:t>
      </w:r>
      <w:r w:rsidRPr="00645ED0">
        <w:rPr>
          <w:rFonts w:ascii="Segoe UI" w:hAnsi="Segoe UI" w:cs="Segoe UI"/>
          <w:sz w:val="22"/>
          <w:szCs w:val="22"/>
          <w:lang w:val="id-ID"/>
        </w:rPr>
        <w:t xml:space="preserve">. Situasi tersebut berpotensi menggeser makna kebebasan berkontrak dari kebebasan yang lahir dari kesepakatan yang seimbang menjadi mekanisme yang memungkinkan pihak yang lebih kuat mendikte pihak yang lebih lemah. </w:t>
      </w:r>
    </w:p>
    <w:p w14:paraId="568E4DE0"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Ketimpangan tersebut berkaitan erat dengan persoalan keadilan kontraktual. Suatu kontrak secara formal dapat lahir berdasarkan kesepakatan para pihak, tetapi kesepakatan tersebut belum tentu mencerminkan keseimbangan kepentingan apabila proses pembentukannya dipengaruhi ketimpangan kekuatan ekonomi dan posisi tawar. Karena itu, pelaksanaan asas kebebasan berkontrak perlu ditempatkan berdampingan dengan prinsip itikad baik, kepatutan, dan keadilan agar kebebasan kontraktual tidak digunakan untuk menciptakan klausula yang berat sebelah atau mengalihkan beban tanggung jawab secara tidak proporsional. Tugas Akhir Rudy secara khusus </w:t>
      </w:r>
      <w:r w:rsidRPr="00645ED0">
        <w:rPr>
          <w:rFonts w:ascii="Segoe UI" w:hAnsi="Segoe UI" w:cs="Segoe UI"/>
          <w:sz w:val="22"/>
          <w:szCs w:val="22"/>
          <w:lang w:val="id-ID"/>
        </w:rPr>
        <w:lastRenderedPageBreak/>
        <w:t>mengidentifikasi potensi ketimpangan tersebut sebagai persoalan dalam implementasi kebebasan berkontrak.</w:t>
      </w:r>
    </w:p>
    <w:p w14:paraId="0B0DA44B"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Persoalan tersebut menjadi semakin relevan dalam sektor telekomunikasi. Perkembangan teknologi dan digitalisasi menyebabkan hubungan bisnis dalam industri telekomunikasi semakin kompleks serta meningkatkan kebutuhan akan berbagai bentuk perjanjian kerja sama antara penyelenggara telekomunikasi dan mitra usaha. Perjanjian tersebut dapat berkaitan dengan penyediaan infrastruktur, pemasaran layanan, maupun hubungan dengan berbagai pihak yang mendukung kegiatan usaha telekomunikasi. Karakter industri yang padat modal dan teknologi juga dapat menyebabkan perbedaan kekuatan ekonomi dan posisi tawar antara operator besar dan mitra usaha yang lebih kecil. </w:t>
      </w:r>
    </w:p>
    <w:p w14:paraId="4B9A989B" w14:textId="7777777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Dalam kondisi demikian, penerapan asas kebebasan berkontrak memiliki dua sisi. Pada satu sisi, asas tersebut diperlukan untuk memberikan fleksibilitas kepada para pihak dalam merancang hubungan kerja sama sesuai kebutuhan bisnis. Pada sisi lain, kebebasan yang tidak disertai keseimbangan dapat menghasilkan klausula yang membatasi hak pihak tertentu, membebankan penalti secara tidak proporsional, membatasi tanggung jawab, atau mengabaikan kepentingan pihak yang memiliki posisi tawar lebih lemah. Tugas Akhir mencatat adanya potensi klausula seperti pembatasan hak mitra untuk bekerja sama dengan pihak ketiga serta penalti yang tinggi ketika terjadi wanprestasi. </w:t>
      </w:r>
    </w:p>
    <w:p w14:paraId="3BDE3B86" w14:textId="3845760E"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Dalam konteks hukum kontrak, persoalan tersebut menunjukkan bahwa kebebasan berkontrak dan keadilan kontraktual tidak seharusnya diposisikan sebagai dua prinsip yang bertentangan. Kebebasan berkontrak justru perlu dijalankan dalam kerangka keadilan sehingga kebebasan menentukan isi kontrak tidak menghilangkan keseimbangan hak dan kewajiban para pihak. Tugas Akhir menggunakan teori tujuan hukum dan teori itikad baik sebagai landasan untuk melihat bagaimana kebebasan berkontrak dapat dilaksanakan dengan tetap memperhatikan keadilan, kepastian hukum, kemanfaatan, serta kepatutan dalam pelaksanaan perjanjian.</w:t>
      </w:r>
    </w:p>
    <w:p w14:paraId="67DF09D4" w14:textId="4191DC15"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Persoalan tersebut kemudian dapat dilihat secara konkret dalam perjanjian kerja sama antara PT Telekomunikasi Seluler dan PT Samekh Chet Abadi. Tugas Akhir mencatat bahwa perjanjian kerja sama tersebut disepakati pada 25 Januari 2016 dan melibatkan PT Telekomunikasi Seluler sebagai salah satu pihak serta PT Samekh Chet Abadi sebagai pihak rekanan. Objek perjanjian tersebut menjadi dasar bagi penelitian untuk menganalisis sejauh mana kebebasan para pihak diwujudkan dalam klausula-klausula kontraktual dan apakah kebebasan tersebut telah memberikan keseimbangan antara hak dan kewajiban masing-masing pihak.</w:t>
      </w:r>
    </w:p>
    <w:p w14:paraId="0BDF2160" w14:textId="779E74CE"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Analisis terhadap perjanjian tersebut menjadi penting karena implementasi kebebasan berkontrak tidak cukup dinilai hanya berdasarkan adanya persetujuan formal para pihak. Penilaian juga perlu melihat apakah isi dan pelaksanaan kontrak tetap berada dalam koridor hukum, itikad baik, kepatutan, serta keadilan. Hasil penelitian Rudy menunjukkan bahwa kebebasan berkontrak memberikan keleluasaan kepada para pihak untuk mengatur hak dan kewajiban, tetapi kebebasan tersebut memiliki batas dan dalam implementasinya masih ditemukan kelemahan berupa ketimpangan posisi tawar, potensi pelanggaran hak normatif atau eksploitasi, serta pengabaian asas keadilan kontraktual.</w:t>
      </w:r>
    </w:p>
    <w:p w14:paraId="3081B7A6" w14:textId="400B8E27"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Dengan demikian, persoalan utama dalam penelitian ini bukan sekadar apakah asas kebebasan berkontrak telah diterapkan, melainkan apakah penerapan kebebasan tersebut telah menghasilkan hubungan kontraktual yang adil dan seimbang. Hal tersebut menjadi penting karena kontrak yang secara formal sah tidak serta-merta menutup kemungkinan adanya ketidakadilan dalam substansi maupun pelaksanaannya. Dalam konteks perjanjian kerja sama </w:t>
      </w:r>
      <w:r w:rsidRPr="00645ED0">
        <w:rPr>
          <w:rFonts w:ascii="Segoe UI" w:hAnsi="Segoe UI" w:cs="Segoe UI"/>
          <w:sz w:val="22"/>
          <w:szCs w:val="22"/>
          <w:lang w:val="id-ID"/>
        </w:rPr>
        <w:lastRenderedPageBreak/>
        <w:t>telekomunikasi, keseimbangan para pihak menjadi aspek yang perlu diperhatikan agar kebebasan kontraktual tidak berubah menjadi instrumen yang menguntungkan satu pihak dengan mengorbankan pihak lainnya.</w:t>
      </w:r>
    </w:p>
    <w:p w14:paraId="307D8BD9" w14:textId="43EF5F7E"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Berdasarkan permasalahan tersebut, penelitian ini memusatkan perhatian pada implementasi asas kebebasan berkontrak dalam perjanjian kerja sama perusahaan serta analisis penerapannya dalam perjanjian kerja sama antara PT Telekomunikasi Seluler dan PT Samekh Chet Abadi. Fokus tersebut sejalan dengan rumusan masalah Tugas Akhir yang mempertanyakan implementasi kebebasan berkontrak dalam perjanjian kerja sama perusahaan dan kebebasan berkontrak yang dituangkan dalam perjanjian antara kedua perusahaan tersebut.</w:t>
      </w:r>
    </w:p>
    <w:p w14:paraId="683399AD" w14:textId="072030FB" w:rsidR="00645ED0" w:rsidRPr="00645ED0" w:rsidRDefault="00645ED0" w:rsidP="00865042">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Penelitian ini bertujuan untuk menganalisis implementasi asas kebebasan berkontrak dan keadilan kontraktual dalam perjanjian telekomunikasi, serta mengidentifikasi batas dan persoalan penerapannya dalam hubungan kontraktual para pihak. Penelitian ini diharapkan memberikan kontribusi terhadap pengembangan hukum perjanjian, khususnya mengenai hubungan antara kebebasan berkontrak, itikad baik, keseimbangan posisi para pihak, dan keadilan kontraktual, sekaligus memberikan masukan bagi pelaku usaha dalam menyusun perjanjian kerja sama yang lebih adil dan seimbang.</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25CD1836" w:rsidR="003A41CA"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Penelitian ini menggunakan jenis penelitian normatif-empiris, yaitu penelitian yang mengkaji ketentuan hukum sekaligus melihat penerapannya dalam praktik. Pendekatan yang digunakan meliputi pendekatan perundang-undangan (</w:t>
      </w:r>
      <w:r w:rsidRPr="00645ED0">
        <w:rPr>
          <w:rFonts w:ascii="Segoe UI" w:hAnsi="Segoe UI" w:cs="Segoe UI"/>
          <w:i/>
          <w:iCs/>
          <w:sz w:val="22"/>
          <w:szCs w:val="22"/>
          <w:lang w:val="id-ID"/>
        </w:rPr>
        <w:t>statute approach</w:t>
      </w:r>
      <w:r w:rsidRPr="00645ED0">
        <w:rPr>
          <w:rFonts w:ascii="Segoe UI" w:hAnsi="Segoe UI" w:cs="Segoe UI"/>
          <w:sz w:val="22"/>
          <w:szCs w:val="22"/>
          <w:lang w:val="id-ID"/>
        </w:rPr>
        <w:t>), penelaahan dokumen dan literatur, serta wawancara (</w:t>
      </w:r>
      <w:r w:rsidRPr="00645ED0">
        <w:rPr>
          <w:rFonts w:ascii="Segoe UI" w:hAnsi="Segoe UI" w:cs="Segoe UI"/>
          <w:i/>
          <w:iCs/>
          <w:sz w:val="22"/>
          <w:szCs w:val="22"/>
          <w:lang w:val="id-ID"/>
        </w:rPr>
        <w:t>interview</w:t>
      </w:r>
      <w:r w:rsidRPr="00645ED0">
        <w:rPr>
          <w:rFonts w:ascii="Segoe UI" w:hAnsi="Segoe UI" w:cs="Segoe UI"/>
          <w:sz w:val="22"/>
          <w:szCs w:val="22"/>
          <w:lang w:val="id-ID"/>
        </w:rPr>
        <w:t>). Pendekatan tersebut digunakan untuk menganalisis implementasi asas kebebasan berkontrak dan keadilan kontraktual dalam perjanjian kerja sama di bidang telekomunikasi.</w:t>
      </w:r>
    </w:p>
    <w:p w14:paraId="1FDC296A" w14:textId="77777777" w:rsidR="00685B04" w:rsidRPr="005939EF" w:rsidRDefault="00685B04">
      <w:pPr>
        <w:pStyle w:val="IEEEParagraph"/>
        <w:ind w:left="567" w:right="322"/>
        <w:rPr>
          <w:lang w:val="id-ID"/>
        </w:rPr>
      </w:pPr>
    </w:p>
    <w:p w14:paraId="5C2D9AAD" w14:textId="538C9ED5" w:rsidR="00685B04" w:rsidRDefault="00000000">
      <w:pPr>
        <w:pStyle w:val="Heading2"/>
        <w:ind w:right="322"/>
        <w:rPr>
          <w:rStyle w:val="mediumtext"/>
        </w:rPr>
      </w:pPr>
      <w:r>
        <w:rPr>
          <w:rStyle w:val="mediumtext"/>
        </w:rPr>
        <w:t xml:space="preserve">2.2 </w:t>
      </w:r>
      <w:r w:rsidR="00645ED0" w:rsidRPr="00645ED0">
        <w:t>Jenis dan Sumber Data</w:t>
      </w:r>
    </w:p>
    <w:p w14:paraId="5C93D083" w14:textId="5B39D6D8" w:rsidR="00685B04" w:rsidRPr="00645ED0" w:rsidRDefault="00645ED0">
      <w:pPr>
        <w:pStyle w:val="IEEEParagraph"/>
        <w:ind w:left="567" w:right="322" w:firstLine="567"/>
        <w:rPr>
          <w:rFonts w:ascii="Segoe UI" w:hAnsi="Segoe UI" w:cs="Segoe UI"/>
          <w:sz w:val="22"/>
          <w:szCs w:val="22"/>
          <w:lang w:val="sv-SE"/>
        </w:rPr>
      </w:pPr>
      <w:r w:rsidRPr="00645ED0">
        <w:rPr>
          <w:rFonts w:ascii="Segoe UI" w:hAnsi="Segoe UI" w:cs="Segoe UI"/>
          <w:sz w:val="22"/>
          <w:szCs w:val="22"/>
          <w:lang w:val="id-ID"/>
        </w:rPr>
        <w:t>Penelitian ini menggunakan data primer dan data sekunder. Data primer diperoleh secara langsung melalui wawancara dan penyebaran kuesioner kepada responden yang dianggap memiliki pengetahuan mengenai permasalahan yang diteliti. Data sekunder diperoleh melalui studi kepustakaan, dokumen, serta berbagai literatur dan sumber tertulis yang berkaitan dengan asas kebebasan berkontrak dan perjanjian kerja sama di bidang telekomunikasi.</w:t>
      </w:r>
    </w:p>
    <w:p w14:paraId="4BF2084B" w14:textId="77777777" w:rsidR="00685B04" w:rsidRPr="003A41CA" w:rsidRDefault="00685B04">
      <w:pPr>
        <w:pStyle w:val="IEEEParagraph"/>
        <w:ind w:left="567" w:right="322"/>
        <w:rPr>
          <w:lang w:val="sv-SE"/>
        </w:rPr>
      </w:pPr>
    </w:p>
    <w:p w14:paraId="1F34F785" w14:textId="34EA09D7" w:rsidR="00685B04" w:rsidRDefault="00000000">
      <w:pPr>
        <w:pStyle w:val="Heading2"/>
        <w:ind w:right="322"/>
        <w:rPr>
          <w:rStyle w:val="mediumtext"/>
        </w:rPr>
      </w:pPr>
      <w:r>
        <w:rPr>
          <w:rStyle w:val="mediumtext"/>
        </w:rPr>
        <w:t xml:space="preserve">2.3 </w:t>
      </w:r>
      <w:r w:rsidR="00645ED0" w:rsidRPr="00645ED0">
        <w:t>Teknik Pengumpulan Data</w:t>
      </w:r>
    </w:p>
    <w:p w14:paraId="4E086DBA" w14:textId="0783ABAE" w:rsidR="00685B04"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Pengumpulan data dilakukan melalui telaah pustaka dan dokumen serta wawancara. Telaah pustaka dan dokumen dilakukan dengan mempelajari dokumen, buku, dan data dari internet yang berkaitan dengan implementasi asas kebebasan berkontrak dalam perjanjian kerja sama di bidang telekomunikasi. Wawancara dilakukan secara langsung kepada informan atau pihak yang memiliki pengetahuan mengenai asas kebebasan berkontrak dalam perjanjian kerja sama di bidang telekomunikasi.</w:t>
      </w:r>
    </w:p>
    <w:p w14:paraId="5385C28D" w14:textId="77777777" w:rsidR="00685B04" w:rsidRPr="00865042" w:rsidRDefault="00685B04">
      <w:pPr>
        <w:pStyle w:val="IEEEParagraph"/>
        <w:ind w:left="567" w:right="322"/>
        <w:rPr>
          <w:lang w:val="id-ID"/>
        </w:rPr>
      </w:pPr>
    </w:p>
    <w:p w14:paraId="4D857164" w14:textId="16CBF810" w:rsidR="00685B04" w:rsidRDefault="00000000">
      <w:pPr>
        <w:pStyle w:val="Heading2"/>
        <w:ind w:right="322"/>
        <w:rPr>
          <w:rStyle w:val="mediumtext"/>
        </w:rPr>
      </w:pPr>
      <w:r>
        <w:rPr>
          <w:rStyle w:val="mediumtext"/>
        </w:rPr>
        <w:t xml:space="preserve">2.4 </w:t>
      </w:r>
      <w:r w:rsidR="00645ED0" w:rsidRPr="00645ED0">
        <w:t>Teknik Analisis Data</w:t>
      </w:r>
    </w:p>
    <w:p w14:paraId="135BDED3" w14:textId="3A4F7CA5" w:rsidR="00685B04"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Data primer dan data sekunder yang telah diperoleh selanjutnya dianalisis secara kualitatif dan diuraikan secara deskriptif. Analisis dilakukan dengan menghubungkan data penelitian </w:t>
      </w:r>
      <w:r w:rsidRPr="00645ED0">
        <w:rPr>
          <w:rFonts w:ascii="Segoe UI" w:hAnsi="Segoe UI" w:cs="Segoe UI"/>
          <w:sz w:val="22"/>
          <w:szCs w:val="22"/>
          <w:lang w:val="id-ID"/>
        </w:rPr>
        <w:lastRenderedPageBreak/>
        <w:t>dengan ketentuan hukum yang relevan untuk memperoleh gambaran mengenai penerapan asas kebebasan berkontrak serta kesesuaiannya dengan prinsip keadilan kontraktual dalam hubungan kerja sama di bidang telekomunikasi.</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23A112B4" w:rsidR="00685B04"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Penelitian ini dibatasi pada implementasi asas kebebasan berkontrak dalam perjanjian kerja sama perusahaan serta analisis penerapannya dalam perjanjian kerja sama antara PT Telekomunikasi Seluler dan PT Samekh Chet Abadi. Pembahasan difokuskan pada kebebasan para pihak dalam menentukan hak dan kewajiban, batas-batas kebebasan berkontrak, keseimbangan posisi tawar, itikad baik, dan keadilan kontraktual dalam hubungan perjanjian. Batasan tersebut sejalan dengan rumusan masalah Tugas Akhir yang memusatkan kajian pada implementasi kebebasan berkontrak dan penerapannya dalam perjanjian kerja sama kedua perusahaan tersebut.</w:t>
      </w:r>
    </w:p>
    <w:p w14:paraId="1F02A9F4" w14:textId="77777777" w:rsidR="001E0508" w:rsidRPr="001C62FB" w:rsidRDefault="006F0069" w:rsidP="006F0069">
      <w:pPr>
        <w:pStyle w:val="Heading3"/>
        <w:ind w:left="1134" w:hanging="283"/>
      </w:pPr>
      <w:r>
        <w:rPr>
          <w:iCs/>
        </w:rPr>
        <w:t>HASIL DA</w:t>
      </w:r>
      <w:r>
        <w:t>N PEMBAHASAN</w:t>
      </w:r>
    </w:p>
    <w:p w14:paraId="3FC6641F" w14:textId="0D5A47AB" w:rsidR="00685B04" w:rsidRDefault="00000000">
      <w:pPr>
        <w:pStyle w:val="Heading2"/>
        <w:ind w:right="322"/>
        <w:rPr>
          <w:rStyle w:val="mediumtext"/>
        </w:rPr>
      </w:pPr>
      <w:r>
        <w:rPr>
          <w:rStyle w:val="mediumtext"/>
        </w:rPr>
        <w:t xml:space="preserve">3.1 </w:t>
      </w:r>
      <w:r w:rsidR="00645ED0" w:rsidRPr="00645ED0">
        <w:t>Implementasi Asas Kebebasan Berkontrak dalam Perjanjian Kerja Sama</w:t>
      </w:r>
    </w:p>
    <w:p w14:paraId="2A3D3434"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Asas kebebasan berkontrak memberikan keleluasaan kepada para pihak untuk menentukan apakah suatu perjanjian akan dibuat, dengan siapa perjanjian dibuat, serta menentukan isi dan syarat-syarat hubungan kontraktual. Dalam praktik hubungan bisnis, kebebasan tersebut memungkinkan para pihak menyesuaikan kontrak dengan kebutuhan kegiatan usaha yang terus berkembang. Tugas Akhir Rudy menunjukkan bahwa perkembangan aktivitas perdagangan dan kemajuan teknologi, termasuk teknologi telekomunikasi dan informatika, mendorong meningkatnya kebutuhan terhadap berbagai bentuk perjanjian kerja sama yang dapat mengakomodasi kepentingan para pihak.</w:t>
      </w:r>
      <w:r w:rsidRPr="00645ED0">
        <w:rPr>
          <w:rFonts w:ascii="Segoe UI" w:hAnsi="Segoe UI" w:cs="Segoe UI"/>
          <w:sz w:val="22"/>
          <w:szCs w:val="22"/>
          <w:lang w:val="id-ID"/>
        </w:rPr>
        <w:t xml:space="preserve"> </w:t>
      </w:r>
    </w:p>
    <w:p w14:paraId="134A4331"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Implementasi kebebasan berkontrak pada dasarnya memberikan ruang kepada para pihak untuk mengatur sendiri hak dan kewajibannya. Dalam perspektif hukum perjanjian Indonesia, kebebasan tersebut mencakup kebebasan membuat atau tidak membuat perjanjian, memilih pihak yang akan diajak berkontrak, menentukan kausa, objek, serta syarat-syarat perjanjian. Dengan demikian, para pihak tidak hanya bebas menentukan keberadaan kontrak, tetapi juga memiliki ruang untuk membentuk substansi hubungan hukum sesuai kebutuhan dan kepentingan yang hendak dicapai.</w:t>
      </w:r>
      <w:r w:rsidRPr="00645ED0">
        <w:rPr>
          <w:rFonts w:ascii="Segoe UI" w:hAnsi="Segoe UI" w:cs="Segoe UI"/>
          <w:sz w:val="22"/>
          <w:szCs w:val="22"/>
          <w:lang w:val="id-ID"/>
        </w:rPr>
        <w:t xml:space="preserve"> </w:t>
      </w:r>
    </w:p>
    <w:p w14:paraId="6429CE48"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Kebebasan tersebut juga berkaitan dengan sistem terbuka dalam Buku III KUH Perdata, yang memungkinkan para pihak membuat bentuk kontrak yang belum secara khusus diatur sebagai perjanjian bernama. Dengan karakter demikian, hukum kontrak dapat menyesuaikan diri dengan perkembangan kegiatan bisnis dan kebutuhan masyarakat. Dalam konteks perjanjian kerja sama, fleksibilitas tersebut penting karena bentuk dan substansi hubungan bisnis dapat berbeda-beda sesuai karakter kegiatan usaha para pihak.</w:t>
      </w:r>
      <w:r w:rsidRPr="00645ED0">
        <w:rPr>
          <w:rFonts w:ascii="Segoe UI" w:hAnsi="Segoe UI" w:cs="Segoe UI"/>
          <w:sz w:val="22"/>
          <w:szCs w:val="22"/>
          <w:lang w:val="id-ID"/>
        </w:rPr>
        <w:t xml:space="preserve"> </w:t>
      </w:r>
    </w:p>
    <w:p w14:paraId="015447EB"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Meskipun demikian, implementasi asas kebebasan berkontrak tidak bersifat absolut. Kebebasan tersebut dibatasi oleh syarat sah perjanjian sebagaimana Pasal 1320 KUH Perdata, yaitu kesepakatan, kecakapan, objek tertentu, dan kausa yang halal. Selain itu, isi perjanjian tidak boleh bertentangan dengan undang-undang, ketertiban umum, maupun kesusilaan. Oleh karena itu, kebebasan kontraktual pada hakikatnya merupakan kebebasan yang diberikan dalam koridor hukum, bukan kebebasan tanpa batas untuk menentukan substansi perjanjian. </w:t>
      </w:r>
    </w:p>
    <w:p w14:paraId="7449FB93"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Dalam praktik bisnis, kebutuhan terhadap efisiensi waktu dan biaya mendorong penggunaan kontrak baku atau perjanjian standar. Kontrak baku memungkinkan pelaku usaha menggunakan format perjanjian yang telah dipersiapkan sebelumnya sehingga proses </w:t>
      </w:r>
      <w:r w:rsidRPr="00645ED0">
        <w:rPr>
          <w:rFonts w:ascii="Segoe UI" w:hAnsi="Segoe UI" w:cs="Segoe UI"/>
          <w:sz w:val="22"/>
          <w:szCs w:val="22"/>
          <w:lang w:val="id-ID"/>
        </w:rPr>
        <w:lastRenderedPageBreak/>
        <w:t>pembentukan kontrak menjadi lebih sederhana dan efisien. Namun, karakter kontrak baku menyebabkan sebagian besar isi perjanjian telah ditentukan oleh pihak yang mempersiapkannya, sedangkan pihak lainnya pada umumnya memiliki ruang negosiasi yang terbatas.</w:t>
      </w:r>
      <w:r w:rsidRPr="00645ED0">
        <w:rPr>
          <w:rFonts w:ascii="Segoe UI" w:hAnsi="Segoe UI" w:cs="Segoe UI"/>
          <w:sz w:val="22"/>
          <w:szCs w:val="22"/>
          <w:lang w:val="id-ID"/>
        </w:rPr>
        <w:t xml:space="preserve"> </w:t>
      </w:r>
    </w:p>
    <w:p w14:paraId="25177CC5"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Kondisi tersebut menimbulkan persoalan terhadap makna kebebasan berkontrak. Dalam kontrak baku, pihak yang memiliki posisi lebih lemah sering kali hanya dihadapkan pada pilihan menerima atau menolak kontrak (</w:t>
      </w:r>
      <w:r w:rsidRPr="00645ED0">
        <w:rPr>
          <w:rFonts w:ascii="Segoe UI" w:hAnsi="Segoe UI" w:cs="Segoe UI"/>
          <w:i/>
          <w:iCs/>
          <w:sz w:val="22"/>
          <w:szCs w:val="22"/>
          <w:lang w:val="id-ID"/>
        </w:rPr>
        <w:t>take it or leave it</w:t>
      </w:r>
      <w:r w:rsidRPr="00645ED0">
        <w:rPr>
          <w:rFonts w:ascii="Segoe UI" w:hAnsi="Segoe UI" w:cs="Segoe UI"/>
          <w:sz w:val="22"/>
          <w:szCs w:val="22"/>
          <w:lang w:val="id-ID"/>
        </w:rPr>
        <w:t>), tanpa kesempatan yang memadai untuk menegosiasikan substansi kontrak. Secara formal keadaan tersebut masih dapat dipandang sebagai suatu bentuk persetujuan, tetapi secara substantif kebebasan untuk menentukan isi kontrak dapat menjadi terbatas.</w:t>
      </w:r>
      <w:r w:rsidRPr="00645ED0">
        <w:rPr>
          <w:rFonts w:ascii="Segoe UI" w:hAnsi="Segoe UI" w:cs="Segoe UI"/>
          <w:sz w:val="22"/>
          <w:szCs w:val="22"/>
          <w:lang w:val="id-ID"/>
        </w:rPr>
        <w:t xml:space="preserve"> </w:t>
      </w:r>
    </w:p>
    <w:p w14:paraId="1CCA9792"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Ketidakseimbangan tersebut semakin bermasalah apabila pihak yang mempunyai posisi tawar lebih kuat menggunakan keadaan tersebut untuk memasukkan klausula yang lebih menguntungkan dirinya. Tugas Akhir mengidentifikasi kemungkinan munculnya klausula eksonerasi, yaitu klausula yang membatasi atau mengalihkan tanggung jawab pihak yang lebih kuat sehingga beban tertentu justru dibebankan kepada pihak yang lebih lemah. Dalam situasi tersebut, kontrak tidak lagi hanya menjadi instrumen untuk mengatur pertukaran hak dan kewajiban, tetapi dapat menjadi sarana untuk memperkuat dominasi salah satu pihak.</w:t>
      </w:r>
      <w:r w:rsidRPr="00645ED0">
        <w:rPr>
          <w:rFonts w:ascii="Segoe UI" w:hAnsi="Segoe UI" w:cs="Segoe UI"/>
          <w:sz w:val="22"/>
          <w:szCs w:val="22"/>
          <w:lang w:val="id-ID"/>
        </w:rPr>
        <w:t xml:space="preserve"> </w:t>
      </w:r>
    </w:p>
    <w:p w14:paraId="377053ED"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Karena itu, implementasi kebebasan berkontrak harus ditempatkan dalam prinsip keseimbangan para pihak. Keseimbangan tidak semata-mata berarti pembagian hak dan kewajiban dalam jumlah yang sama, tetapi juga berkaitan dengan posisi para pihak dalam proses pembentukan kontrak dan proporsionalitas substansi yang disepakati. Tugas Akhir mengidentifikasi keseimbangan sebagai kondisi penting agar kontrak tidak hanya sah secara formal, tetapi juga tidak dibentuk melalui ketimpangan posisi yang menyebabkan salah satu pihak kehilangan kebebasan yang sesungguhnya. </w:t>
      </w:r>
    </w:p>
    <w:p w14:paraId="19F6EC7D"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Dalam hubungan kontraktual yang tidak seimbang, dapat muncul penyalahgunaan keadaan, yaitu situasi ketika salah satu pihak mengetahui atau seharusnya mengetahui bahwa pihak lainnya berada dalam keadaan khusus yang membuatnya sulit mengambil keputusan secara bebas, tetapi keadaan tersebut tetap dimanfaatkan untuk memperoleh kesepakatan. Tugas Akhir menempatkan persoalan ini sebagai salah satu alasan penting mengapa kebebasan berkontrak perlu disertai perlindungan terhadap pihak yang lebih lemah. </w:t>
      </w:r>
    </w:p>
    <w:p w14:paraId="53C3F0C7"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Atas kondisi tersebut, keberadaan batasan terhadap kebebasan berkontrak tidak dapat dipandang sebagai pengingkaran terhadap asas kebebasan berkontrak. Sebaliknya, pembatasan diperlukan untuk memastikan bahwa kebebasan tersebut berjalan secara bertanggung jawab dan tidak menghasilkan hubungan kontraktual yang eksploitatif. Tugas Akhir menjelaskan bahwa negara dapat melakukan intervensi ketika terdapat ketimpangan kedudukan para pihak, antara lain dengan memastikan terpenuhinya syarat sah perjanjian serta melarang substansi kontrak yang bertentangan dengan peraturan perundang-undangan, ketertiban umum, dan kesusilaan. </w:t>
      </w:r>
    </w:p>
    <w:p w14:paraId="3140B01C"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Dalam konteks perlindungan terhadap kontrak baku, Tugas Akhir juga mengaitkan pembatasan tersebut dengan Undang-Undang Nomor 8 Tahun 1999 tentang Perlindungan Konsumen, khususnya ketentuan mengenai larangan pencantuman klausula baku tertentu yang mengalihkan tanggung jawab pelaku usaha. Pembatasan tersebut menunjukkan bahwa kebebasan pihak yang menyusun kontrak dapat dikendalikan ketika penggunaannya berpotensi merugikan pihak lain. Dengan demikian, kebebasan berkontrak perlu berjalan bersama prinsip keseimbangan, keadilan, dan kewajaran. </w:t>
      </w:r>
    </w:p>
    <w:p w14:paraId="5864B5F6" w14:textId="77777777"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 xml:space="preserve">Berdasarkan hasil penelitian, implementasi asas kebebasan berkontrak dalam perjanjian kerja sama pada dasarnya memberikan keleluasaan kepada para pihak untuk mengatur hubungan </w:t>
      </w:r>
      <w:r w:rsidRPr="00645ED0">
        <w:rPr>
          <w:rFonts w:ascii="Segoe UI" w:hAnsi="Segoe UI" w:cs="Segoe UI"/>
          <w:sz w:val="22"/>
          <w:szCs w:val="22"/>
          <w:lang w:val="id-ID"/>
        </w:rPr>
        <w:lastRenderedPageBreak/>
        <w:t xml:space="preserve">hukum, tetapi pelaksanaannya harus dibatasi oleh hukum, itikad baik, kepatutan, ketertiban umum, kesusilaan, dan prinsip keadilan. Persoalan utama bukan terletak pada keberadaan kebebasan berkontrak itu sendiri, melainkan pada kemungkinan terjadinya ketimpangan posisi tawar yang dapat menghasilkan klausula berat sebelah, eksploitasi, atau pengabaian keadilan kontraktual. </w:t>
      </w:r>
    </w:p>
    <w:p w14:paraId="77887FF6" w14:textId="4AA1EF30" w:rsidR="00645ED0" w:rsidRPr="00645ED0" w:rsidRDefault="00645ED0">
      <w:pPr>
        <w:pStyle w:val="IEEEParagraph"/>
        <w:ind w:left="567" w:right="322" w:firstLine="567"/>
        <w:rPr>
          <w:rFonts w:ascii="Segoe UI" w:hAnsi="Segoe UI" w:cs="Segoe UI"/>
          <w:sz w:val="22"/>
          <w:szCs w:val="22"/>
          <w:lang w:val="id-ID"/>
        </w:rPr>
      </w:pPr>
      <w:r w:rsidRPr="00645ED0">
        <w:rPr>
          <w:rFonts w:ascii="Segoe UI" w:hAnsi="Segoe UI" w:cs="Segoe UI"/>
          <w:sz w:val="22"/>
          <w:szCs w:val="22"/>
          <w:lang w:val="id-ID"/>
        </w:rPr>
        <w:t>Dengan demikian, implementasi asas kebebasan berkontrak yang ideal bukanlah kebebasan untuk menentukan isi kontrak tanpa batas, melainkan kebebasan yang bertanggung jawab dan berorientasi pada keseimbangan hubungan kontraktual. Para pihak tetap memiliki keleluasaan untuk merancang hubungan kerja sama sesuai kepentingannya, tetapi kebebasan tersebut harus ditempatkan dalam batas hukum dan diarahkan untuk menghasilkan pembagian hak dan kewajiban yang proporsional. Temuan ini menjadi dasar untuk menganalisis secara lebih konkret bagaimana kebebasan berkontrak dan keadilan kontraktual dituangkan dalam perjanjian kerja sama antara PT Telekomunikasi Seluler dan PT Samekh Chet Abadi</w:t>
      </w:r>
      <w:r w:rsidRPr="00645ED0">
        <w:rPr>
          <w:rFonts w:ascii="Segoe UI" w:hAnsi="Segoe UI" w:cs="Segoe UI"/>
          <w:sz w:val="22"/>
          <w:szCs w:val="22"/>
          <w:lang w:val="id-ID"/>
        </w:rPr>
        <w:t>.</w:t>
      </w:r>
    </w:p>
    <w:p w14:paraId="785098ED" w14:textId="77777777" w:rsidR="00685B04" w:rsidRPr="005939EF" w:rsidRDefault="00685B04">
      <w:pPr>
        <w:pStyle w:val="IEEEParagraph"/>
        <w:ind w:left="567" w:right="322"/>
        <w:rPr>
          <w:lang w:val="id-ID"/>
        </w:rPr>
      </w:pPr>
    </w:p>
    <w:p w14:paraId="4707B302" w14:textId="03564B27" w:rsidR="00685B04" w:rsidRDefault="00000000">
      <w:pPr>
        <w:pStyle w:val="Heading2"/>
        <w:ind w:right="322"/>
        <w:rPr>
          <w:rStyle w:val="mediumtext"/>
        </w:rPr>
      </w:pPr>
      <w:r>
        <w:rPr>
          <w:rStyle w:val="mediumtext"/>
        </w:rPr>
        <w:t xml:space="preserve">3.2 </w:t>
      </w:r>
      <w:r w:rsidR="008616DC" w:rsidRPr="008616DC">
        <w:t>Implementasi Kebebasan Berkontrak dan Keadilan Kontraktual dalam Perjanjian PT Telekomunikasi Seluler dan PT Samekh Chet Abadi</w:t>
      </w:r>
    </w:p>
    <w:p w14:paraId="4B38351B"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Perjanjian kerja sama yang menjadi objek penelitian disepakati pada 25 Januari 2016 antara PT Telekomunikasi Seluler sebagai Telkomsel dan PT Samekh Chet Abadi sebagai rekanan. Kontrak tersebut terdiri atas 26 pasal yang mengatur berbagai aspek hubungan para pihak, mulai dari pengertian, objek dan ruang lingkup pekerjaan, jangka waktu, harga sewa, tata cara pembayaran, pengakhiran kontrak, tanggung jawab, penyelesaian perselisihan, hingga amandemen kontrak. Struktur tersebut menunjukkan bahwa para pihak menggunakan kebebasan berkontrak untuk membentuk hubungan hukum yang cukup komprehensif sesuai kebutuhan kerja sama mereka. </w:t>
      </w:r>
    </w:p>
    <w:p w14:paraId="73DCD4FB"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Dari perspektif kebebasan berkontrak, kontrak tersebut menunjukkan bahwa para pihak memiliki ruang untuk menentukan objek, jangka waktu, mekanisme pembayaran, hak dan kewajiban, serta mekanisme penyelesaian sengketa. Jangka waktu kontrak ditetapkan selama lima tahun sejak tanggal BAPS pertama dan dapat diperpanjang berdasarkan kesepakatan para pihak. Dengan demikian, secara formal terdapat kehendak para pihak untuk mengatur sendiri hubungan kontraktualnya melalui klausula-klausula yang disepakati. </w:t>
      </w:r>
    </w:p>
    <w:p w14:paraId="09A72EE7"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Namun, ketika isi kontrak dianalisis lebih jauh, terlihat adanya ketidakseimbangan dalam posisi kontraktual para pihak. Salah satu klausula penting menyatakan bahwa Telkomsel tidak memiliki komitmen untuk menyewa infrastruktur dalam volume atau kuantitas tertentu, bahkan Telkomsel memiliki hak untuk menentukan kualitas dan kuantitas infrastruktur yang akan disewa. Kontrak juga menyatakan bahwa Telkomsel dapat meminta penawaran kompetitif dan mengadakan perikatan dengan pihak ketiga tanpa kewajiban memberikan pemberitahuan kepada Rekanan. Selain itu, Rekanan tidak memperoleh eksklusivitas geografis maupun eksklusivitas lainnya. </w:t>
      </w:r>
    </w:p>
    <w:p w14:paraId="72DDDF28"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Klausula tersebut pada satu sisi dapat dipahami sebagai bentuk fleksibilitas bisnis bagi Telkomsel untuk menyesuaikan kebutuhan infrastrukturnya. Akan tetapi, dari perspektif keadilan kontraktual, klausula tersebut juga menimbulkan konsekuensi bahwa Rekanan tidak memperoleh kepastian mengenai volume pekerjaan maupun wilayah kerja yang akan diperoleh selama masa kontrak. Tugas Akhir mengidentifikasi kondisi semacam ini sebagai salah satu persoalan ketimpangan posisi tawar karena pihak yang lebih kuat mempunyai ruang yang lebih besar untuk menentukan kondisi hubungan kontraktual, sementara pihak lainnya harus menerima ketidakpastian tersebut sebagai bagian dari kontrak. </w:t>
      </w:r>
    </w:p>
    <w:p w14:paraId="7DB3D868"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lastRenderedPageBreak/>
        <w:t xml:space="preserve">Aspek lain terlihat pada pengaturan harga dan pembayaran. Harga sewa infrastruktur per </w:t>
      </w:r>
      <w:r w:rsidRPr="008616DC">
        <w:rPr>
          <w:rFonts w:ascii="Segoe UI" w:hAnsi="Segoe UI" w:cs="Segoe UI"/>
          <w:i/>
          <w:iCs/>
          <w:sz w:val="22"/>
          <w:szCs w:val="22"/>
          <w:lang w:val="id-ID"/>
        </w:rPr>
        <w:t>site</w:t>
      </w:r>
      <w:r w:rsidRPr="008616DC">
        <w:rPr>
          <w:rFonts w:ascii="Segoe UI" w:hAnsi="Segoe UI" w:cs="Segoe UI"/>
          <w:sz w:val="22"/>
          <w:szCs w:val="22"/>
          <w:lang w:val="id-ID"/>
        </w:rPr>
        <w:t xml:space="preserve"> ditentukan berdasarkan lampiran dan </w:t>
      </w:r>
      <w:r w:rsidRPr="008616DC">
        <w:rPr>
          <w:rFonts w:ascii="Segoe UI" w:hAnsi="Segoe UI" w:cs="Segoe UI"/>
          <w:i/>
          <w:iCs/>
          <w:sz w:val="22"/>
          <w:szCs w:val="22"/>
          <w:lang w:val="id-ID"/>
        </w:rPr>
        <w:t>purchase order</w:t>
      </w:r>
      <w:r w:rsidRPr="008616DC">
        <w:rPr>
          <w:rFonts w:ascii="Segoe UI" w:hAnsi="Segoe UI" w:cs="Segoe UI"/>
          <w:sz w:val="22"/>
          <w:szCs w:val="22"/>
          <w:lang w:val="id-ID"/>
        </w:rPr>
        <w:t xml:space="preserve">, sedangkan harga kontrak dinyatakan bersifat tetap dan tidak mengalami perubahan selama pelaksanaan pekerjaan, kecuali perubahan kebijakan pemerintah di bidang moneter. Pembayaran dilakukan setiap tahun di muka setelah persyaratan dokumen tagihan dipenuhi, dan Telkomsel melakukan pembayaran paling lambat 30 hari kerja setelah menerima dokumen tagihan yang lengkap dan benar. </w:t>
      </w:r>
    </w:p>
    <w:p w14:paraId="5CE97663"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Pengaturan tersebut memperlihatkan adanya kepastian mengenai mekanisme pembayaran, tetapi sekaligus menempatkan risiko tertentu kepada Rekanan karena harga pada dasarnya bersifat tetap atau non-eskalasi selama pelaksanaan kontrak. Perubahan harga hanya dimungkinkan dalam keadaan tertentu yang berkaitan dengan kebijakan moneter pemerintah. Dalam konteks kontrak bisnis jangka panjang, ketentuan demikian perlu dilihat dari perspektif keseimbangan karena perubahan biaya operasional yang berasal dari keadaan bisnis di luar perubahan kebijakan moneter tidak secara eksplisit disebut sebagai dasar perubahan harga.</w:t>
      </w:r>
      <w:r w:rsidRPr="008616DC">
        <w:rPr>
          <w:rFonts w:ascii="Segoe UI" w:hAnsi="Segoe UI" w:cs="Segoe UI"/>
          <w:sz w:val="22"/>
          <w:szCs w:val="22"/>
          <w:lang w:val="id-ID"/>
        </w:rPr>
        <w:t xml:space="preserve"> </w:t>
      </w:r>
    </w:p>
    <w:p w14:paraId="765F1B3D"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Ketidakseimbangan juga dapat dilihat dalam mekanisme pengakhiran kontrak. Pasal 13 memberikan Telkomsel kewenangan untuk mengakhiri kontrak berdasarkan keputusan sendiri dalam beberapa kondisi, termasuk apabila Rekanan mengalami insolvensi, berhenti menjalankan kegiatan usaha, tidak memenuhi ketentuan kontrak, tidak mampu memenuhi </w:t>
      </w:r>
      <w:r w:rsidRPr="008616DC">
        <w:rPr>
          <w:rFonts w:ascii="Segoe UI" w:hAnsi="Segoe UI" w:cs="Segoe UI"/>
          <w:i/>
          <w:iCs/>
          <w:sz w:val="22"/>
          <w:szCs w:val="22"/>
          <w:lang w:val="id-ID"/>
        </w:rPr>
        <w:t>Service Level Agreement</w:t>
      </w:r>
      <w:r w:rsidRPr="008616DC">
        <w:rPr>
          <w:rFonts w:ascii="Segoe UI" w:hAnsi="Segoe UI" w:cs="Segoe UI"/>
          <w:sz w:val="22"/>
          <w:szCs w:val="22"/>
          <w:lang w:val="id-ID"/>
        </w:rPr>
        <w:t xml:space="preserve"> (SLA), atau terdapat kondisi lain sebagaimana diatur dalam kontrak. Bahkan, Telkomsel memiliki hak untuk mengakhiri sebagian atau seluruh pekerjaan secara sepihak dalam keadaan tertentu.</w:t>
      </w:r>
      <w:r w:rsidRPr="008616DC">
        <w:rPr>
          <w:rFonts w:ascii="Segoe UI" w:hAnsi="Segoe UI" w:cs="Segoe UI"/>
          <w:sz w:val="22"/>
          <w:szCs w:val="22"/>
          <w:lang w:val="id-ID"/>
        </w:rPr>
        <w:t xml:space="preserve"> </w:t>
      </w:r>
    </w:p>
    <w:p w14:paraId="392AFFFD"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Lebih jauh, para pihak menyepakati pengesampingan Pasal 1266 KUH Perdata sehingga pengakhiran berdasarkan ketentuan kontrak dapat dilakukan melalui pemberitahuan tertulis dari Telkomsel kepada Rekanan tanpa menunggu keputusan hakim. Selain itu, dalam klausula pertentangan kepentingan, Telkomsel juga diberi hak untuk mengakhiri kontrak secara sepihak apabila transaksi dipandang tidak wajar dan tidak berkewajiban memberikan ganti rugi kepada Rekanan atas pengakhiran tersebut. Dari perspektif keadilan kontraktual, kewenangan sepihak yang demikian perlu diuji secara hati-hati agar tidak berubah menjadi ketentuan yang memberikan dominasi berlebihan kepada salah satu pihak. </w:t>
      </w:r>
    </w:p>
    <w:p w14:paraId="78460B30"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Aspek tanggung jawab juga menunjukkan adanya pola pembagian risiko yang perlu diperhatikan. Pasal 18 membebankan kepada Rekanan kewajiban untuk mencegah timbulnya kerugian dan memberikan perlindungan atau ganti rugi kepada Telkomsel atas kerugian tertentu yang timbul akibat pelanggaran kontrak, klaim pihak ketiga akibat kelalaian Rekanan, maupun kerusakan terhadap properti pihak lain. Pada saat yang sama, Pasal 19 membatasi tanggung jawab Rekanan terhadap Telkomsel paling tinggi sebesar total harga pekerjaan berdasarkan </w:t>
      </w:r>
      <w:r w:rsidRPr="008616DC">
        <w:rPr>
          <w:rFonts w:ascii="Segoe UI" w:hAnsi="Segoe UI" w:cs="Segoe UI"/>
          <w:i/>
          <w:iCs/>
          <w:sz w:val="22"/>
          <w:szCs w:val="22"/>
          <w:lang w:val="id-ID"/>
        </w:rPr>
        <w:t>purchase order</w:t>
      </w:r>
      <w:r w:rsidRPr="008616DC">
        <w:rPr>
          <w:rFonts w:ascii="Segoe UI" w:hAnsi="Segoe UI" w:cs="Segoe UI"/>
          <w:sz w:val="22"/>
          <w:szCs w:val="22"/>
          <w:lang w:val="id-ID"/>
        </w:rPr>
        <w:t>, dengan pengecualian tertentu seperti kelalaian, kecerobohan, kesalahan disengaja, dan pelanggaran hak kekayaan intelektual.</w:t>
      </w:r>
      <w:r w:rsidRPr="008616DC">
        <w:rPr>
          <w:rFonts w:ascii="Segoe UI" w:hAnsi="Segoe UI" w:cs="Segoe UI"/>
          <w:sz w:val="22"/>
          <w:szCs w:val="22"/>
          <w:lang w:val="id-ID"/>
        </w:rPr>
        <w:t xml:space="preserve"> </w:t>
      </w:r>
    </w:p>
    <w:p w14:paraId="5A3788F1"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Klausula tersebut memperlihatkan bahwa kontrak memang mengatur pembagian tanggung jawab secara rinci. Namun, apabila dibaca bersama klausula pengakhiran, tidak adanya komitmen kuantitas, dan tidak adanya eksklusivitas bagi Rekanan, tampak bahwa distribusi risiko dalam kontrak lebih banyak mengatur perlindungan terhadap kepentingan Telkomsel. Hal ini tidak dengan sendirinya berarti seluruh kontrak tidak adil atau tidak sah, tetapi menunjukkan adanya potensi ketidakseimbangan kontraktual yang perlu dinilai berdasarkan proses pembentukan kontrak, posisi tawar para pihak, serta proporsionalitas hak dan kewajiban masing-masing pihak.</w:t>
      </w:r>
      <w:r w:rsidRPr="008616DC">
        <w:rPr>
          <w:rFonts w:ascii="Segoe UI" w:hAnsi="Segoe UI" w:cs="Segoe UI"/>
          <w:sz w:val="22"/>
          <w:szCs w:val="22"/>
          <w:lang w:val="id-ID"/>
        </w:rPr>
        <w:t xml:space="preserve"> </w:t>
      </w:r>
    </w:p>
    <w:p w14:paraId="7DACE9A8"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Dalam hubungan kontraktual yang demikian, keberadaan klausula yang memberikan kewenangan luas kepada Telkomsel harus dibaca bersama kewajiban Rekanan yang cukup banyak. </w:t>
      </w:r>
      <w:r w:rsidRPr="008616DC">
        <w:rPr>
          <w:rFonts w:ascii="Segoe UI" w:hAnsi="Segoe UI" w:cs="Segoe UI"/>
          <w:sz w:val="22"/>
          <w:szCs w:val="22"/>
          <w:lang w:val="id-ID"/>
        </w:rPr>
        <w:lastRenderedPageBreak/>
        <w:t xml:space="preserve">Rekanan, antara lain, berkewajiban memenuhi standar teknis, memperbaiki </w:t>
      </w:r>
      <w:r w:rsidRPr="008616DC">
        <w:rPr>
          <w:rFonts w:ascii="Segoe UI" w:hAnsi="Segoe UI" w:cs="Segoe UI"/>
          <w:i/>
          <w:iCs/>
          <w:sz w:val="22"/>
          <w:szCs w:val="22"/>
          <w:lang w:val="id-ID"/>
        </w:rPr>
        <w:t>error</w:t>
      </w:r>
      <w:r w:rsidRPr="008616DC">
        <w:rPr>
          <w:rFonts w:ascii="Segoe UI" w:hAnsi="Segoe UI" w:cs="Segoe UI"/>
          <w:sz w:val="22"/>
          <w:szCs w:val="22"/>
          <w:lang w:val="id-ID"/>
        </w:rPr>
        <w:t xml:space="preserve">, menyediakan pasokan listrik, memenuhi SLA, serta menanggung denda apabila terjadi keterlambatan. Kontrak bahkan menetapkan denda keterlambatan sebesar 1‰ dari harga sewa setiap hari sampai maksimum 5% dari harga sewa, serta denda apabila Rekanan tidak memenuhi SLA. </w:t>
      </w:r>
    </w:p>
    <w:p w14:paraId="13E81E3B"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Dari perspektif kebebasan berkontrak, berbagai ketentuan tersebut masih dapat dipandang sebagai hasil pengaturan para pihak sepanjang memenuhi syarat sah perjanjian dan tidak bertentangan dengan ketentuan hukum yang bersifat memaksa. Namun, kebebasan formal untuk menandatangani kontrak tidak selalu identik dengan kebebasan substantif dalam menentukan isi kontrak. Apabila salah satu pihak mempunyai posisi tawar jauh lebih kuat dan pihak lainnya berada dalam posisi yang secara praktis hanya dapat menerima rancangan kontrak yang telah disiapkan, maka perlu dipertanyakan apakah persetujuan tersebut benar-benar mencerminkan keseimbangan kehendak para pihak.</w:t>
      </w:r>
      <w:r w:rsidRPr="008616DC">
        <w:rPr>
          <w:rFonts w:ascii="Segoe UI" w:hAnsi="Segoe UI" w:cs="Segoe UI"/>
          <w:sz w:val="22"/>
          <w:szCs w:val="22"/>
          <w:lang w:val="id-ID"/>
        </w:rPr>
        <w:t xml:space="preserve"> </w:t>
      </w:r>
    </w:p>
    <w:p w14:paraId="7A6BE244"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Persoalan tersebut sejalan dengan temuan utama Tugas Akhir bahwa kelemahan implementasi kebebasan berkontrak dalam perjanjian kerja sama dapat berupa ketimpangan </w:t>
      </w:r>
      <w:r w:rsidRPr="008616DC">
        <w:rPr>
          <w:rFonts w:ascii="Segoe UI" w:hAnsi="Segoe UI" w:cs="Segoe UI"/>
          <w:i/>
          <w:iCs/>
          <w:sz w:val="22"/>
          <w:szCs w:val="22"/>
          <w:lang w:val="id-ID"/>
        </w:rPr>
        <w:t>bargaining power</w:t>
      </w:r>
      <w:r w:rsidRPr="008616DC">
        <w:rPr>
          <w:rFonts w:ascii="Segoe UI" w:hAnsi="Segoe UI" w:cs="Segoe UI"/>
          <w:sz w:val="22"/>
          <w:szCs w:val="22"/>
          <w:lang w:val="id-ID"/>
        </w:rPr>
        <w:t xml:space="preserve">, potensi pelanggaran hak normatif atau eksploitasi, serta pengabaian asas keadilan kontraktual. Tugas Akhir juga menekankan bahwa kebebasan berkontrak seharusnya dipadukan dengan itikad baik, kepatutan, ketentuan hukum, dan keseimbangan posisi tawar agar kontrak tidak menghasilkan klausula yang berat sebelah atau bersifat memaksa. </w:t>
      </w:r>
    </w:p>
    <w:p w14:paraId="4865B241"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Di sisi lain, perjanjian ini juga memuat beberapa mekanisme yang dapat dipandang sebagai upaya menciptakan keteraturan dan keseimbangan hubungan kontraktual. Misalnya, perselisihan terlebih dahulu diselesaikan melalui musyawarah berdasarkan itikad baik dan apabila tidak tercapai kesepakatan dilanjutkan melalui Badan Arbitrase Nasional Indonesia (BANI). Kontrak juga membuka kemungkinan perubahan melalui amandemen dan mengatur mekanisme pengalihan hak serta kewajiban dengan pemberitahuan kepada pihak lainnya. Ketentuan tersebut memperlihatkan bahwa kontrak tidak sepenuhnya mengabaikan kepentingan Rekanan. </w:t>
      </w:r>
    </w:p>
    <w:p w14:paraId="2266B3B6"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Dengan demikian, berdasarkan analisis terhadap substansi perjanjian, kebebasan berkontrak dalam perjanjian PT Telekomunikasi Seluler dan PT Samekh Chet Abadi telah diimplementasikan secara formal melalui kewenangan para pihak untuk membentuk dan mengatur hubungan hukum mereka, tetapi secara substantif masih terdapat indikasi ketidakseimbangan dalam distribusi hak, kewajiban, risiko, dan kewenangan. Indikasi tersebut terutama terlihat dari tidak adanya komitmen kuantitas dan eksklusivitas bagi Rekanan, kewenangan pengakhiran secara sepihak oleh Telkomsel, kewajiban dan denda yang cukup besar pada pihak Rekanan, serta pembebanan tanggung jawab tertentu kepada Rekanan.</w:t>
      </w:r>
      <w:r w:rsidRPr="008616DC">
        <w:rPr>
          <w:rFonts w:ascii="Segoe UI" w:hAnsi="Segoe UI" w:cs="Segoe UI"/>
          <w:sz w:val="22"/>
          <w:szCs w:val="22"/>
          <w:lang w:val="id-ID"/>
        </w:rPr>
        <w:t xml:space="preserve"> </w:t>
      </w:r>
    </w:p>
    <w:p w14:paraId="68B2A3EF" w14:textId="2847F512"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Oleh karena itu, keadilan kontraktual tidak cukup diukur dari terpenuhinya kesepakatan formal para pihak, tetapi juga perlu dilihat dari keseimbangan posisi tawar dan proporsionalitas isi kontrak. Temuan penelitian menunjukkan bahwa kontrak kerja sama tersebut mempunyai kelemahan yang dapat memengaruhi keseimbangan kontraktual, sehingga penerapan asas kebebasan berkontrak perlu disertai prinsip itikad baik, kepatutan, perlindungan terhadap pihak yang lebih lemah, dan pengaturan hak serta kewajiban yang proporsional. Hal ini sejalan dengan kesimpulan Tugas Akhir bahwa kebebasan berkontrak bukanlah hak mutlak, melainkan harus tunduk pada hukum, moral, ketertiban umum, dan prinsip keadilan untuk menjaga keseimbangan para pihak.</w:t>
      </w:r>
    </w:p>
    <w:p w14:paraId="1DDB275D" w14:textId="77777777" w:rsidR="001E0508" w:rsidRPr="00EA7E75" w:rsidRDefault="00985560" w:rsidP="00985560">
      <w:pPr>
        <w:pStyle w:val="Heading3"/>
        <w:ind w:left="993" w:hanging="426"/>
      </w:pPr>
      <w:r>
        <w:lastRenderedPageBreak/>
        <w:t>KESIMPULAN</w:t>
      </w:r>
    </w:p>
    <w:p w14:paraId="26ECBA76"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Berdasarkan hasil penelitian dan pembahasan mengenai Implementasi Asas Kebebasan Berkontrak dan Keadilan Kontraktual dalam Perjanjian Telekomunikasi, dapat disimpulkan bahwa asas kebebasan berkontrak telah memberikan keleluasaan kepada para pihak untuk menentukan bentuk, isi, syarat, serta hak dan kewajiban dalam perjanjian kerja sama. Namun, kebebasan tersebut tidak bersifat mutlak karena pelaksanaannya tetap harus tunduk pada ketentuan hukum, itikad baik, kepatutan, ketertiban umum, kesusilaan, dan prinsip keadilan.</w:t>
      </w:r>
      <w:r w:rsidRPr="008616DC">
        <w:rPr>
          <w:rFonts w:ascii="Segoe UI" w:hAnsi="Segoe UI" w:cs="Segoe UI"/>
          <w:sz w:val="22"/>
          <w:szCs w:val="22"/>
          <w:lang w:val="id-ID"/>
        </w:rPr>
        <w:t xml:space="preserve"> </w:t>
      </w:r>
    </w:p>
    <w:p w14:paraId="6213BB18"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Dalam perjanjian kerja sama antara PT Telekomunikasi Seluler dan PT Samekh Chet Abadi, kebebasan berkontrak telah diwujudkan melalui pengaturan yang komprehensif mengenai objek kerja sama, jangka waktu, harga, pembayaran, tanggung jawab, pengakhiran kontrak, dan penyelesaian perselisihan. Akan tetapi, analisis terhadap substansi kontrak menunjukkan adanya indikasi ketidakseimbangan posisi dan distribusi risiko, antara lain tidak adanya komitmen kuantitas dan eksklusivitas bagi Rekanan, kewenangan tertentu Telkomsel untuk melakukan pengakhiran secara sepihak, serta pembebanan kewajiban, denda, dan tanggung jawab yang relatif besar kepada Rekanan.</w:t>
      </w:r>
      <w:r w:rsidRPr="008616DC">
        <w:rPr>
          <w:rFonts w:ascii="Segoe UI" w:hAnsi="Segoe UI" w:cs="Segoe UI"/>
          <w:sz w:val="22"/>
          <w:szCs w:val="22"/>
          <w:lang w:val="id-ID"/>
        </w:rPr>
        <w:t xml:space="preserve"> </w:t>
      </w:r>
    </w:p>
    <w:p w14:paraId="6A7FFE96"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Dengan demikian, implementasi kebebasan berkontrak secara formal belum sepenuhnya identik dengan terwujudnya keadilan kontraktual secara substantif. Keadilan kontraktual menuntut adanya keseimbangan posisi para pihak, proporsionalitas hak dan kewajiban, serta pelaksanaan kontrak berdasarkan itikad baik dan kepatutan. Temuan penelitian sejalan dengan Tugas Akhir yang mengidentifikasi tiga persoalan utama, yaitu ketimpangan </w:t>
      </w:r>
      <w:r w:rsidRPr="008616DC">
        <w:rPr>
          <w:rFonts w:ascii="Segoe UI" w:hAnsi="Segoe UI" w:cs="Segoe UI"/>
          <w:i/>
          <w:iCs/>
          <w:sz w:val="22"/>
          <w:szCs w:val="22"/>
          <w:lang w:val="id-ID"/>
        </w:rPr>
        <w:t>bargaining power</w:t>
      </w:r>
      <w:r w:rsidRPr="008616DC">
        <w:rPr>
          <w:rFonts w:ascii="Segoe UI" w:hAnsi="Segoe UI" w:cs="Segoe UI"/>
          <w:sz w:val="22"/>
          <w:szCs w:val="22"/>
          <w:lang w:val="id-ID"/>
        </w:rPr>
        <w:t xml:space="preserve">, potensi pelanggaran hak normatif atau eksploitasi, dan pengabaian asas keadilan kontraktual. </w:t>
      </w:r>
    </w:p>
    <w:p w14:paraId="09496719" w14:textId="77777777" w:rsidR="008616DC" w:rsidRPr="008616DC" w:rsidRDefault="008616DC" w:rsidP="006C1665">
      <w:pPr>
        <w:pStyle w:val="IEEEParagraph"/>
        <w:ind w:left="567" w:right="322" w:firstLine="567"/>
        <w:rPr>
          <w:rFonts w:ascii="Segoe UI" w:hAnsi="Segoe UI" w:cs="Segoe UI"/>
          <w:sz w:val="22"/>
          <w:szCs w:val="22"/>
          <w:lang w:val="id-ID"/>
        </w:rPr>
      </w:pPr>
      <w:r w:rsidRPr="008616DC">
        <w:rPr>
          <w:rFonts w:ascii="Segoe UI" w:hAnsi="Segoe UI" w:cs="Segoe UI"/>
          <w:sz w:val="22"/>
          <w:szCs w:val="22"/>
          <w:lang w:val="id-ID"/>
        </w:rPr>
        <w:t xml:space="preserve">Oleh karena itu, penerapan asas kebebasan berkontrak dalam perjanjian telekomunikasi perlu diarahkan pada kebebasan berkontrak yang bertanggung jawab, yaitu kebebasan yang tetap memberikan ruang bagi para pihak untuk mengatur kepentingannya, tetapi sekaligus menjaga keseimbangan, kepatutan, itikad baik, dan keadilan dalam hubungan kontraktual. Dengan pendekatan tersebut, perjanjian tidak hanya sah dan mengikat secara formal, tetapi juga lebih mampu mencerminkan hubungan hukum yang adil dan seimbang bagi para pihak.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171385D6"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lang w:val="sv-SE"/>
        </w:rPr>
        <w:t xml:space="preserve">Ahmadi </w:t>
      </w:r>
      <w:proofErr w:type="spellStart"/>
      <w:r w:rsidRPr="008616DC">
        <w:rPr>
          <w:rFonts w:cs="Segoe UI"/>
          <w:sz w:val="20"/>
          <w:szCs w:val="20"/>
          <w:lang w:val="sv-SE"/>
        </w:rPr>
        <w:t>Miru</w:t>
      </w:r>
      <w:proofErr w:type="spellEnd"/>
      <w:r w:rsidRPr="008616DC">
        <w:rPr>
          <w:rFonts w:cs="Segoe UI"/>
          <w:sz w:val="20"/>
          <w:szCs w:val="20"/>
          <w:lang w:val="sv-SE"/>
        </w:rPr>
        <w:t xml:space="preserve">. (2016).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kontrak</w:t>
      </w:r>
      <w:proofErr w:type="spellEnd"/>
      <w:r w:rsidRPr="008616DC">
        <w:rPr>
          <w:rFonts w:cs="Segoe UI"/>
          <w:i/>
          <w:iCs/>
          <w:sz w:val="20"/>
          <w:szCs w:val="20"/>
          <w:lang w:val="sv-SE"/>
        </w:rPr>
        <w:t xml:space="preserve"> dan </w:t>
      </w:r>
      <w:proofErr w:type="spellStart"/>
      <w:r w:rsidRPr="008616DC">
        <w:rPr>
          <w:rFonts w:cs="Segoe UI"/>
          <w:i/>
          <w:iCs/>
          <w:sz w:val="20"/>
          <w:szCs w:val="20"/>
          <w:lang w:val="sv-SE"/>
        </w:rPr>
        <w:t>perancangan</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kontrak</w:t>
      </w:r>
      <w:proofErr w:type="spellEnd"/>
      <w:r w:rsidRPr="008616DC">
        <w:rPr>
          <w:rFonts w:cs="Segoe UI"/>
          <w:sz w:val="20"/>
          <w:szCs w:val="20"/>
          <w:lang w:val="sv-SE"/>
        </w:rPr>
        <w:t xml:space="preserve">. PT </w:t>
      </w:r>
      <w:proofErr w:type="spellStart"/>
      <w:r w:rsidRPr="008616DC">
        <w:rPr>
          <w:rFonts w:cs="Segoe UI"/>
          <w:sz w:val="20"/>
          <w:szCs w:val="20"/>
          <w:lang w:val="sv-SE"/>
        </w:rPr>
        <w:t>RajaGrafindo</w:t>
      </w:r>
      <w:proofErr w:type="spellEnd"/>
      <w:r w:rsidRPr="008616DC">
        <w:rPr>
          <w:rFonts w:cs="Segoe UI"/>
          <w:sz w:val="20"/>
          <w:szCs w:val="20"/>
          <w:lang w:val="sv-SE"/>
        </w:rPr>
        <w:t xml:space="preserve"> </w:t>
      </w:r>
      <w:proofErr w:type="spellStart"/>
      <w:r w:rsidRPr="008616DC">
        <w:rPr>
          <w:rFonts w:cs="Segoe UI"/>
          <w:sz w:val="20"/>
          <w:szCs w:val="20"/>
          <w:lang w:val="sv-SE"/>
        </w:rPr>
        <w:t>Persada</w:t>
      </w:r>
      <w:proofErr w:type="spellEnd"/>
      <w:r w:rsidRPr="008616DC">
        <w:rPr>
          <w:rFonts w:cs="Segoe UI"/>
          <w:sz w:val="20"/>
          <w:szCs w:val="20"/>
          <w:lang w:val="sv-SE"/>
        </w:rPr>
        <w:t>.</w:t>
      </w:r>
    </w:p>
    <w:p w14:paraId="63022042"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Hernoko</w:t>
      </w:r>
      <w:proofErr w:type="spellEnd"/>
      <w:r w:rsidRPr="008616DC">
        <w:rPr>
          <w:rFonts w:cs="Segoe UI"/>
          <w:sz w:val="20"/>
          <w:szCs w:val="20"/>
          <w:lang w:val="sv-SE"/>
        </w:rPr>
        <w:t xml:space="preserve">, A. Y. (2008).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perjanjian</w:t>
      </w:r>
      <w:proofErr w:type="spellEnd"/>
      <w:r w:rsidRPr="008616DC">
        <w:rPr>
          <w:rFonts w:cs="Segoe UI"/>
          <w:i/>
          <w:iCs/>
          <w:sz w:val="20"/>
          <w:szCs w:val="20"/>
          <w:lang w:val="sv-SE"/>
        </w:rPr>
        <w:t xml:space="preserve">: Asas </w:t>
      </w:r>
      <w:proofErr w:type="spellStart"/>
      <w:r w:rsidRPr="008616DC">
        <w:rPr>
          <w:rFonts w:cs="Segoe UI"/>
          <w:i/>
          <w:iCs/>
          <w:sz w:val="20"/>
          <w:szCs w:val="20"/>
          <w:lang w:val="sv-SE"/>
        </w:rPr>
        <w:t>proporsionalitas</w:t>
      </w:r>
      <w:proofErr w:type="spellEnd"/>
      <w:r w:rsidRPr="008616DC">
        <w:rPr>
          <w:rFonts w:cs="Segoe UI"/>
          <w:i/>
          <w:iCs/>
          <w:sz w:val="20"/>
          <w:szCs w:val="20"/>
          <w:lang w:val="sv-SE"/>
        </w:rPr>
        <w:t xml:space="preserve"> </w:t>
      </w:r>
      <w:proofErr w:type="spellStart"/>
      <w:r w:rsidRPr="008616DC">
        <w:rPr>
          <w:rFonts w:cs="Segoe UI"/>
          <w:i/>
          <w:iCs/>
          <w:sz w:val="20"/>
          <w:szCs w:val="20"/>
          <w:lang w:val="sv-SE"/>
        </w:rPr>
        <w:t>dalam</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kontrak</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komersial</w:t>
      </w:r>
      <w:proofErr w:type="spellEnd"/>
      <w:r w:rsidRPr="008616DC">
        <w:rPr>
          <w:rFonts w:cs="Segoe UI"/>
          <w:sz w:val="20"/>
          <w:szCs w:val="20"/>
          <w:lang w:val="sv-SE"/>
        </w:rPr>
        <w:t xml:space="preserve">. </w:t>
      </w:r>
      <w:proofErr w:type="spellStart"/>
      <w:r w:rsidRPr="008616DC">
        <w:rPr>
          <w:rFonts w:cs="Segoe UI"/>
          <w:sz w:val="20"/>
          <w:szCs w:val="20"/>
          <w:lang w:val="sv-SE"/>
        </w:rPr>
        <w:t>Laksbang</w:t>
      </w:r>
      <w:proofErr w:type="spellEnd"/>
      <w:r w:rsidRPr="008616DC">
        <w:rPr>
          <w:rFonts w:cs="Segoe UI"/>
          <w:sz w:val="20"/>
          <w:szCs w:val="20"/>
          <w:lang w:val="sv-SE"/>
        </w:rPr>
        <w:t xml:space="preserve"> Mediatama.</w:t>
      </w:r>
    </w:p>
    <w:p w14:paraId="639C62AF"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Ujan</w:t>
      </w:r>
      <w:proofErr w:type="spellEnd"/>
      <w:r w:rsidRPr="008616DC">
        <w:rPr>
          <w:rFonts w:cs="Segoe UI"/>
          <w:sz w:val="20"/>
          <w:szCs w:val="20"/>
          <w:lang w:val="sv-SE"/>
        </w:rPr>
        <w:t xml:space="preserve">, A. A. (1999). </w:t>
      </w:r>
      <w:proofErr w:type="spellStart"/>
      <w:r w:rsidRPr="008616DC">
        <w:rPr>
          <w:rFonts w:cs="Segoe UI"/>
          <w:i/>
          <w:iCs/>
          <w:sz w:val="20"/>
          <w:szCs w:val="20"/>
          <w:lang w:val="sv-SE"/>
        </w:rPr>
        <w:t>Keadilan</w:t>
      </w:r>
      <w:proofErr w:type="spellEnd"/>
      <w:r w:rsidRPr="008616DC">
        <w:rPr>
          <w:rFonts w:cs="Segoe UI"/>
          <w:i/>
          <w:iCs/>
          <w:sz w:val="20"/>
          <w:szCs w:val="20"/>
          <w:lang w:val="sv-SE"/>
        </w:rPr>
        <w:t xml:space="preserve"> dan </w:t>
      </w:r>
      <w:proofErr w:type="spellStart"/>
      <w:r w:rsidRPr="008616DC">
        <w:rPr>
          <w:rFonts w:cs="Segoe UI"/>
          <w:i/>
          <w:iCs/>
          <w:sz w:val="20"/>
          <w:szCs w:val="20"/>
          <w:lang w:val="sv-SE"/>
        </w:rPr>
        <w:t>demokrasi</w:t>
      </w:r>
      <w:proofErr w:type="spellEnd"/>
      <w:r w:rsidRPr="008616DC">
        <w:rPr>
          <w:rFonts w:cs="Segoe UI"/>
          <w:i/>
          <w:iCs/>
          <w:sz w:val="20"/>
          <w:szCs w:val="20"/>
          <w:lang w:val="sv-SE"/>
        </w:rPr>
        <w:t xml:space="preserve">: </w:t>
      </w:r>
      <w:proofErr w:type="spellStart"/>
      <w:r w:rsidRPr="008616DC">
        <w:rPr>
          <w:rFonts w:cs="Segoe UI"/>
          <w:i/>
          <w:iCs/>
          <w:sz w:val="20"/>
          <w:szCs w:val="20"/>
          <w:lang w:val="sv-SE"/>
        </w:rPr>
        <w:t>Telaah</w:t>
      </w:r>
      <w:proofErr w:type="spellEnd"/>
      <w:r w:rsidRPr="008616DC">
        <w:rPr>
          <w:rFonts w:cs="Segoe UI"/>
          <w:i/>
          <w:iCs/>
          <w:sz w:val="20"/>
          <w:szCs w:val="20"/>
          <w:lang w:val="sv-SE"/>
        </w:rPr>
        <w:t xml:space="preserve"> </w:t>
      </w:r>
      <w:proofErr w:type="spellStart"/>
      <w:r w:rsidRPr="008616DC">
        <w:rPr>
          <w:rFonts w:cs="Segoe UI"/>
          <w:i/>
          <w:iCs/>
          <w:sz w:val="20"/>
          <w:szCs w:val="20"/>
          <w:lang w:val="sv-SE"/>
        </w:rPr>
        <w:t>filsafat</w:t>
      </w:r>
      <w:proofErr w:type="spellEnd"/>
      <w:r w:rsidRPr="008616DC">
        <w:rPr>
          <w:rFonts w:cs="Segoe UI"/>
          <w:i/>
          <w:iCs/>
          <w:sz w:val="20"/>
          <w:szCs w:val="20"/>
          <w:lang w:val="sv-SE"/>
        </w:rPr>
        <w:t xml:space="preserve"> politik John Rawls</w:t>
      </w:r>
      <w:r w:rsidRPr="008616DC">
        <w:rPr>
          <w:rFonts w:cs="Segoe UI"/>
          <w:sz w:val="20"/>
          <w:szCs w:val="20"/>
          <w:lang w:val="sv-SE"/>
        </w:rPr>
        <w:t xml:space="preserve">. </w:t>
      </w:r>
      <w:proofErr w:type="spellStart"/>
      <w:r w:rsidRPr="008616DC">
        <w:rPr>
          <w:rFonts w:cs="Segoe UI"/>
          <w:sz w:val="20"/>
          <w:szCs w:val="20"/>
          <w:lang w:val="sv-SE"/>
        </w:rPr>
        <w:t>Kanisius</w:t>
      </w:r>
      <w:proofErr w:type="spellEnd"/>
      <w:r w:rsidRPr="008616DC">
        <w:rPr>
          <w:rFonts w:cs="Segoe UI"/>
          <w:sz w:val="20"/>
          <w:szCs w:val="20"/>
          <w:lang w:val="sv-SE"/>
        </w:rPr>
        <w:t>.</w:t>
      </w:r>
    </w:p>
    <w:p w14:paraId="0182C432"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lang w:val="sv-SE"/>
        </w:rPr>
        <w:t xml:space="preserve">Mustafa, B. (2001). </w:t>
      </w:r>
      <w:proofErr w:type="spellStart"/>
      <w:r w:rsidRPr="008616DC">
        <w:rPr>
          <w:rFonts w:cs="Segoe UI"/>
          <w:i/>
          <w:iCs/>
          <w:sz w:val="20"/>
          <w:szCs w:val="20"/>
          <w:lang w:val="sv-SE"/>
        </w:rPr>
        <w:t>Sistem</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administrasi</w:t>
      </w:r>
      <w:proofErr w:type="spellEnd"/>
      <w:r w:rsidRPr="008616DC">
        <w:rPr>
          <w:rFonts w:cs="Segoe UI"/>
          <w:i/>
          <w:iCs/>
          <w:sz w:val="20"/>
          <w:szCs w:val="20"/>
          <w:lang w:val="sv-SE"/>
        </w:rPr>
        <w:t xml:space="preserve"> </w:t>
      </w:r>
      <w:proofErr w:type="spellStart"/>
      <w:r w:rsidRPr="008616DC">
        <w:rPr>
          <w:rFonts w:cs="Segoe UI"/>
          <w:i/>
          <w:iCs/>
          <w:sz w:val="20"/>
          <w:szCs w:val="20"/>
          <w:lang w:val="sv-SE"/>
        </w:rPr>
        <w:t>negara</w:t>
      </w:r>
      <w:proofErr w:type="spellEnd"/>
      <w:r w:rsidRPr="008616DC">
        <w:rPr>
          <w:rFonts w:cs="Segoe UI"/>
          <w:i/>
          <w:iCs/>
          <w:sz w:val="20"/>
          <w:szCs w:val="20"/>
          <w:lang w:val="sv-SE"/>
        </w:rPr>
        <w:t xml:space="preserve"> Indonesia</w:t>
      </w:r>
      <w:r w:rsidRPr="008616DC">
        <w:rPr>
          <w:rFonts w:cs="Segoe UI"/>
          <w:sz w:val="20"/>
          <w:szCs w:val="20"/>
          <w:lang w:val="sv-SE"/>
        </w:rPr>
        <w:t xml:space="preserve">. </w:t>
      </w:r>
      <w:proofErr w:type="spellStart"/>
      <w:r w:rsidRPr="008616DC">
        <w:rPr>
          <w:rFonts w:cs="Segoe UI"/>
          <w:sz w:val="20"/>
          <w:szCs w:val="20"/>
          <w:lang w:val="sv-SE"/>
        </w:rPr>
        <w:t>Citra</w:t>
      </w:r>
      <w:proofErr w:type="spellEnd"/>
      <w:r w:rsidRPr="008616DC">
        <w:rPr>
          <w:rFonts w:cs="Segoe UI"/>
          <w:sz w:val="20"/>
          <w:szCs w:val="20"/>
          <w:lang w:val="sv-SE"/>
        </w:rPr>
        <w:t xml:space="preserve"> </w:t>
      </w:r>
      <w:proofErr w:type="spellStart"/>
      <w:r w:rsidRPr="008616DC">
        <w:rPr>
          <w:rFonts w:cs="Segoe UI"/>
          <w:sz w:val="20"/>
          <w:szCs w:val="20"/>
          <w:lang w:val="sv-SE"/>
        </w:rPr>
        <w:t>Aditya</w:t>
      </w:r>
      <w:proofErr w:type="spellEnd"/>
      <w:r w:rsidRPr="008616DC">
        <w:rPr>
          <w:rFonts w:cs="Segoe UI"/>
          <w:sz w:val="20"/>
          <w:szCs w:val="20"/>
          <w:lang w:val="sv-SE"/>
        </w:rPr>
        <w:t xml:space="preserve"> </w:t>
      </w:r>
      <w:proofErr w:type="spellStart"/>
      <w:r w:rsidRPr="008616DC">
        <w:rPr>
          <w:rFonts w:cs="Segoe UI"/>
          <w:sz w:val="20"/>
          <w:szCs w:val="20"/>
          <w:lang w:val="sv-SE"/>
        </w:rPr>
        <w:t>Bakti</w:t>
      </w:r>
      <w:proofErr w:type="spellEnd"/>
      <w:r w:rsidRPr="008616DC">
        <w:rPr>
          <w:rFonts w:cs="Segoe UI"/>
          <w:sz w:val="20"/>
          <w:szCs w:val="20"/>
          <w:lang w:val="sv-SE"/>
        </w:rPr>
        <w:t>.</w:t>
      </w:r>
    </w:p>
    <w:p w14:paraId="10AD65DE"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Sumaryono</w:t>
      </w:r>
      <w:proofErr w:type="spellEnd"/>
      <w:r w:rsidRPr="008616DC">
        <w:rPr>
          <w:rFonts w:cs="Segoe UI"/>
          <w:sz w:val="20"/>
          <w:szCs w:val="20"/>
          <w:lang w:val="sv-SE"/>
        </w:rPr>
        <w:t xml:space="preserve">, A. (1995). </w:t>
      </w:r>
      <w:proofErr w:type="spellStart"/>
      <w:r w:rsidRPr="008616DC">
        <w:rPr>
          <w:rFonts w:cs="Segoe UI"/>
          <w:i/>
          <w:iCs/>
          <w:sz w:val="20"/>
          <w:szCs w:val="20"/>
          <w:lang w:val="sv-SE"/>
        </w:rPr>
        <w:t>Etika</w:t>
      </w:r>
      <w:proofErr w:type="spellEnd"/>
      <w:r w:rsidRPr="008616DC">
        <w:rPr>
          <w:rFonts w:cs="Segoe UI"/>
          <w:i/>
          <w:iCs/>
          <w:sz w:val="20"/>
          <w:szCs w:val="20"/>
          <w:lang w:val="sv-SE"/>
        </w:rPr>
        <w:t xml:space="preserve"> </w:t>
      </w:r>
      <w:proofErr w:type="spellStart"/>
      <w:r w:rsidRPr="008616DC">
        <w:rPr>
          <w:rFonts w:cs="Segoe UI"/>
          <w:i/>
          <w:iCs/>
          <w:sz w:val="20"/>
          <w:szCs w:val="20"/>
          <w:lang w:val="sv-SE"/>
        </w:rPr>
        <w:t>profesi</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sz w:val="20"/>
          <w:szCs w:val="20"/>
          <w:lang w:val="sv-SE"/>
        </w:rPr>
        <w:t xml:space="preserve">. </w:t>
      </w:r>
      <w:proofErr w:type="spellStart"/>
      <w:r w:rsidRPr="008616DC">
        <w:rPr>
          <w:rFonts w:cs="Segoe UI"/>
          <w:sz w:val="20"/>
          <w:szCs w:val="20"/>
          <w:lang w:val="sv-SE"/>
        </w:rPr>
        <w:t>Kanisius</w:t>
      </w:r>
      <w:proofErr w:type="spellEnd"/>
      <w:r w:rsidRPr="008616DC">
        <w:rPr>
          <w:rFonts w:cs="Segoe UI"/>
          <w:sz w:val="20"/>
          <w:szCs w:val="20"/>
          <w:lang w:val="sv-SE"/>
        </w:rPr>
        <w:t>.</w:t>
      </w:r>
    </w:p>
    <w:p w14:paraId="6729B5DC"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Budiono</w:t>
      </w:r>
      <w:proofErr w:type="spellEnd"/>
      <w:r w:rsidRPr="008616DC">
        <w:rPr>
          <w:rFonts w:cs="Segoe UI"/>
          <w:sz w:val="20"/>
          <w:szCs w:val="20"/>
          <w:lang w:val="sv-SE"/>
        </w:rPr>
        <w:t xml:space="preserve">, H. (2010). </w:t>
      </w:r>
      <w:proofErr w:type="spellStart"/>
      <w:r w:rsidRPr="008616DC">
        <w:rPr>
          <w:rFonts w:cs="Segoe UI"/>
          <w:i/>
          <w:iCs/>
          <w:sz w:val="20"/>
          <w:szCs w:val="20"/>
          <w:lang w:val="sv-SE"/>
        </w:rPr>
        <w:t>Ajaran</w:t>
      </w:r>
      <w:proofErr w:type="spellEnd"/>
      <w:r w:rsidRPr="008616DC">
        <w:rPr>
          <w:rFonts w:cs="Segoe UI"/>
          <w:i/>
          <w:iCs/>
          <w:sz w:val="20"/>
          <w:szCs w:val="20"/>
          <w:lang w:val="sv-SE"/>
        </w:rPr>
        <w:t xml:space="preserve"> </w:t>
      </w:r>
      <w:proofErr w:type="spellStart"/>
      <w:r w:rsidRPr="008616DC">
        <w:rPr>
          <w:rFonts w:cs="Segoe UI"/>
          <w:i/>
          <w:iCs/>
          <w:sz w:val="20"/>
          <w:szCs w:val="20"/>
          <w:lang w:val="sv-SE"/>
        </w:rPr>
        <w:t>umum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perjanjian</w:t>
      </w:r>
      <w:proofErr w:type="spellEnd"/>
      <w:r w:rsidRPr="008616DC">
        <w:rPr>
          <w:rFonts w:cs="Segoe UI"/>
          <w:i/>
          <w:iCs/>
          <w:sz w:val="20"/>
          <w:szCs w:val="20"/>
          <w:lang w:val="sv-SE"/>
        </w:rPr>
        <w:t xml:space="preserve"> dan </w:t>
      </w:r>
      <w:proofErr w:type="spellStart"/>
      <w:r w:rsidRPr="008616DC">
        <w:rPr>
          <w:rFonts w:cs="Segoe UI"/>
          <w:i/>
          <w:iCs/>
          <w:sz w:val="20"/>
          <w:szCs w:val="20"/>
          <w:lang w:val="sv-SE"/>
        </w:rPr>
        <w:t>penerapannya</w:t>
      </w:r>
      <w:proofErr w:type="spellEnd"/>
      <w:r w:rsidRPr="008616DC">
        <w:rPr>
          <w:rFonts w:cs="Segoe UI"/>
          <w:i/>
          <w:iCs/>
          <w:sz w:val="20"/>
          <w:szCs w:val="20"/>
          <w:lang w:val="sv-SE"/>
        </w:rPr>
        <w:t xml:space="preserve"> di </w:t>
      </w:r>
      <w:proofErr w:type="spellStart"/>
      <w:r w:rsidRPr="008616DC">
        <w:rPr>
          <w:rFonts w:cs="Segoe UI"/>
          <w:i/>
          <w:iCs/>
          <w:sz w:val="20"/>
          <w:szCs w:val="20"/>
          <w:lang w:val="sv-SE"/>
        </w:rPr>
        <w:t>bidang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kenotariatan</w:t>
      </w:r>
      <w:proofErr w:type="spellEnd"/>
      <w:r w:rsidRPr="008616DC">
        <w:rPr>
          <w:rFonts w:cs="Segoe UI"/>
          <w:sz w:val="20"/>
          <w:szCs w:val="20"/>
          <w:lang w:val="sv-SE"/>
        </w:rPr>
        <w:t xml:space="preserve">. PT </w:t>
      </w:r>
      <w:proofErr w:type="spellStart"/>
      <w:r w:rsidRPr="008616DC">
        <w:rPr>
          <w:rFonts w:cs="Segoe UI"/>
          <w:sz w:val="20"/>
          <w:szCs w:val="20"/>
          <w:lang w:val="sv-SE"/>
        </w:rPr>
        <w:t>Citra</w:t>
      </w:r>
      <w:proofErr w:type="spellEnd"/>
      <w:r w:rsidRPr="008616DC">
        <w:rPr>
          <w:rFonts w:cs="Segoe UI"/>
          <w:sz w:val="20"/>
          <w:szCs w:val="20"/>
          <w:lang w:val="sv-SE"/>
        </w:rPr>
        <w:t xml:space="preserve"> </w:t>
      </w:r>
      <w:proofErr w:type="spellStart"/>
      <w:r w:rsidRPr="008616DC">
        <w:rPr>
          <w:rFonts w:cs="Segoe UI"/>
          <w:sz w:val="20"/>
          <w:szCs w:val="20"/>
          <w:lang w:val="sv-SE"/>
        </w:rPr>
        <w:t>Aditya</w:t>
      </w:r>
      <w:proofErr w:type="spellEnd"/>
      <w:r w:rsidRPr="008616DC">
        <w:rPr>
          <w:rFonts w:cs="Segoe UI"/>
          <w:sz w:val="20"/>
          <w:szCs w:val="20"/>
          <w:lang w:val="sv-SE"/>
        </w:rPr>
        <w:t xml:space="preserve"> </w:t>
      </w:r>
      <w:proofErr w:type="spellStart"/>
      <w:r w:rsidRPr="008616DC">
        <w:rPr>
          <w:rFonts w:cs="Segoe UI"/>
          <w:sz w:val="20"/>
          <w:szCs w:val="20"/>
          <w:lang w:val="sv-SE"/>
        </w:rPr>
        <w:t>Bakti</w:t>
      </w:r>
      <w:proofErr w:type="spellEnd"/>
      <w:r w:rsidRPr="008616DC">
        <w:rPr>
          <w:rFonts w:cs="Segoe UI"/>
          <w:sz w:val="20"/>
          <w:szCs w:val="20"/>
          <w:lang w:val="sv-SE"/>
        </w:rPr>
        <w:t>.</w:t>
      </w:r>
    </w:p>
    <w:p w14:paraId="4632B7D0"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lang w:val="sv-SE"/>
        </w:rPr>
        <w:t xml:space="preserve">Van Kan, L. J., &amp; </w:t>
      </w:r>
      <w:proofErr w:type="spellStart"/>
      <w:r w:rsidRPr="008616DC">
        <w:rPr>
          <w:rFonts w:cs="Segoe UI"/>
          <w:sz w:val="20"/>
          <w:szCs w:val="20"/>
          <w:lang w:val="sv-SE"/>
        </w:rPr>
        <w:t>Beekhuis</w:t>
      </w:r>
      <w:proofErr w:type="spellEnd"/>
      <w:r w:rsidRPr="008616DC">
        <w:rPr>
          <w:rFonts w:cs="Segoe UI"/>
          <w:sz w:val="20"/>
          <w:szCs w:val="20"/>
          <w:lang w:val="sv-SE"/>
        </w:rPr>
        <w:t xml:space="preserve">, J. H. (1990). </w:t>
      </w:r>
      <w:proofErr w:type="spellStart"/>
      <w:r w:rsidRPr="008616DC">
        <w:rPr>
          <w:rFonts w:cs="Segoe UI"/>
          <w:i/>
          <w:iCs/>
          <w:sz w:val="20"/>
          <w:szCs w:val="20"/>
          <w:lang w:val="sv-SE"/>
        </w:rPr>
        <w:t>Pengantar</w:t>
      </w:r>
      <w:proofErr w:type="spellEnd"/>
      <w:r w:rsidRPr="008616DC">
        <w:rPr>
          <w:rFonts w:cs="Segoe UI"/>
          <w:i/>
          <w:iCs/>
          <w:sz w:val="20"/>
          <w:szCs w:val="20"/>
          <w:lang w:val="sv-SE"/>
        </w:rPr>
        <w:t xml:space="preserve"> </w:t>
      </w:r>
      <w:proofErr w:type="spellStart"/>
      <w:r w:rsidRPr="008616DC">
        <w:rPr>
          <w:rFonts w:cs="Segoe UI"/>
          <w:i/>
          <w:iCs/>
          <w:sz w:val="20"/>
          <w:szCs w:val="20"/>
          <w:lang w:val="sv-SE"/>
        </w:rPr>
        <w:t>ilmu</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sz w:val="20"/>
          <w:szCs w:val="20"/>
          <w:lang w:val="sv-SE"/>
        </w:rPr>
        <w:t xml:space="preserve">. </w:t>
      </w:r>
      <w:proofErr w:type="spellStart"/>
      <w:r w:rsidRPr="008616DC">
        <w:rPr>
          <w:rFonts w:cs="Segoe UI"/>
          <w:sz w:val="20"/>
          <w:szCs w:val="20"/>
          <w:lang w:val="sv-SE"/>
        </w:rPr>
        <w:t>Ghalia</w:t>
      </w:r>
      <w:proofErr w:type="spellEnd"/>
      <w:r w:rsidRPr="008616DC">
        <w:rPr>
          <w:rFonts w:cs="Segoe UI"/>
          <w:sz w:val="20"/>
          <w:szCs w:val="20"/>
          <w:lang w:val="sv-SE"/>
        </w:rPr>
        <w:t xml:space="preserve"> Indonesia.</w:t>
      </w:r>
    </w:p>
    <w:p w14:paraId="22C28486"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Velasquez</w:t>
      </w:r>
      <w:proofErr w:type="spellEnd"/>
      <w:r w:rsidRPr="008616DC">
        <w:rPr>
          <w:rFonts w:cs="Segoe UI"/>
          <w:sz w:val="20"/>
          <w:szCs w:val="20"/>
          <w:lang w:val="sv-SE"/>
        </w:rPr>
        <w:t xml:space="preserve">, M. G. (2005). </w:t>
      </w:r>
      <w:proofErr w:type="spellStart"/>
      <w:r w:rsidRPr="008616DC">
        <w:rPr>
          <w:rFonts w:cs="Segoe UI"/>
          <w:i/>
          <w:iCs/>
          <w:sz w:val="20"/>
          <w:szCs w:val="20"/>
          <w:lang w:val="sv-SE"/>
        </w:rPr>
        <w:t>Etika</w:t>
      </w:r>
      <w:proofErr w:type="spellEnd"/>
      <w:r w:rsidRPr="008616DC">
        <w:rPr>
          <w:rFonts w:cs="Segoe UI"/>
          <w:i/>
          <w:iCs/>
          <w:sz w:val="20"/>
          <w:szCs w:val="20"/>
          <w:lang w:val="sv-SE"/>
        </w:rPr>
        <w:t xml:space="preserve"> </w:t>
      </w:r>
      <w:proofErr w:type="spellStart"/>
      <w:r w:rsidRPr="008616DC">
        <w:rPr>
          <w:rFonts w:cs="Segoe UI"/>
          <w:i/>
          <w:iCs/>
          <w:sz w:val="20"/>
          <w:szCs w:val="20"/>
          <w:lang w:val="sv-SE"/>
        </w:rPr>
        <w:t>bisnis</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Konsep</w:t>
      </w:r>
      <w:proofErr w:type="spellEnd"/>
      <w:r w:rsidRPr="008616DC">
        <w:rPr>
          <w:rFonts w:cs="Segoe UI"/>
          <w:i/>
          <w:iCs/>
          <w:sz w:val="20"/>
          <w:szCs w:val="20"/>
          <w:lang w:val="sv-SE"/>
        </w:rPr>
        <w:t xml:space="preserve"> </w:t>
      </w:r>
      <w:proofErr w:type="gramStart"/>
      <w:r w:rsidRPr="008616DC">
        <w:rPr>
          <w:rFonts w:cs="Segoe UI"/>
          <w:i/>
          <w:iCs/>
          <w:sz w:val="20"/>
          <w:szCs w:val="20"/>
          <w:lang w:val="sv-SE"/>
        </w:rPr>
        <w:t>dan kasus</w:t>
      </w:r>
      <w:proofErr w:type="gramEnd"/>
      <w:r w:rsidRPr="008616DC">
        <w:rPr>
          <w:rFonts w:cs="Segoe UI"/>
          <w:sz w:val="20"/>
          <w:szCs w:val="20"/>
          <w:lang w:val="sv-SE"/>
        </w:rPr>
        <w:t xml:space="preserve"> (A. </w:t>
      </w:r>
      <w:proofErr w:type="spellStart"/>
      <w:r w:rsidRPr="008616DC">
        <w:rPr>
          <w:rFonts w:cs="Segoe UI"/>
          <w:sz w:val="20"/>
          <w:szCs w:val="20"/>
          <w:lang w:val="sv-SE"/>
        </w:rPr>
        <w:t>Purwaningsih</w:t>
      </w:r>
      <w:proofErr w:type="spellEnd"/>
      <w:r w:rsidRPr="008616DC">
        <w:rPr>
          <w:rFonts w:cs="Segoe UI"/>
          <w:sz w:val="20"/>
          <w:szCs w:val="20"/>
          <w:lang w:val="sv-SE"/>
        </w:rPr>
        <w:t>, Trans.). Andi.</w:t>
      </w:r>
    </w:p>
    <w:p w14:paraId="1B62D9FB"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lang w:val="sv-SE"/>
        </w:rPr>
        <w:t xml:space="preserve">Hatta, M. (1949). </w:t>
      </w:r>
      <w:proofErr w:type="spellStart"/>
      <w:r w:rsidRPr="008616DC">
        <w:rPr>
          <w:rFonts w:cs="Segoe UI"/>
          <w:i/>
          <w:iCs/>
          <w:sz w:val="20"/>
          <w:szCs w:val="20"/>
          <w:lang w:val="sv-SE"/>
        </w:rPr>
        <w:t>Lahirnya</w:t>
      </w:r>
      <w:proofErr w:type="spellEnd"/>
      <w:r w:rsidRPr="008616DC">
        <w:rPr>
          <w:rFonts w:cs="Segoe UI"/>
          <w:i/>
          <w:iCs/>
          <w:sz w:val="20"/>
          <w:szCs w:val="20"/>
          <w:lang w:val="sv-SE"/>
        </w:rPr>
        <w:t xml:space="preserve"> </w:t>
      </w:r>
      <w:proofErr w:type="spellStart"/>
      <w:r w:rsidRPr="008616DC">
        <w:rPr>
          <w:rFonts w:cs="Segoe UI"/>
          <w:i/>
          <w:iCs/>
          <w:sz w:val="20"/>
          <w:szCs w:val="20"/>
          <w:lang w:val="sv-SE"/>
        </w:rPr>
        <w:t>Pancasila</w:t>
      </w:r>
      <w:proofErr w:type="spellEnd"/>
      <w:r w:rsidRPr="008616DC">
        <w:rPr>
          <w:rFonts w:cs="Segoe UI"/>
          <w:i/>
          <w:iCs/>
          <w:sz w:val="20"/>
          <w:szCs w:val="20"/>
          <w:lang w:val="sv-SE"/>
        </w:rPr>
        <w:t xml:space="preserve">: </w:t>
      </w:r>
      <w:proofErr w:type="spellStart"/>
      <w:r w:rsidRPr="008616DC">
        <w:rPr>
          <w:rFonts w:cs="Segoe UI"/>
          <w:i/>
          <w:iCs/>
          <w:sz w:val="20"/>
          <w:szCs w:val="20"/>
          <w:lang w:val="sv-SE"/>
        </w:rPr>
        <w:t>Bung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Karno</w:t>
      </w:r>
      <w:proofErr w:type="spellEnd"/>
      <w:r w:rsidRPr="008616DC">
        <w:rPr>
          <w:rFonts w:cs="Segoe UI"/>
          <w:i/>
          <w:iCs/>
          <w:sz w:val="20"/>
          <w:szCs w:val="20"/>
          <w:lang w:val="sv-SE"/>
        </w:rPr>
        <w:t xml:space="preserve"> </w:t>
      </w:r>
      <w:proofErr w:type="spellStart"/>
      <w:r w:rsidRPr="008616DC">
        <w:rPr>
          <w:rFonts w:cs="Segoe UI"/>
          <w:i/>
          <w:iCs/>
          <w:sz w:val="20"/>
          <w:szCs w:val="20"/>
          <w:lang w:val="sv-SE"/>
        </w:rPr>
        <w:t>mengemban</w:t>
      </w:r>
      <w:proofErr w:type="spellEnd"/>
      <w:r w:rsidRPr="008616DC">
        <w:rPr>
          <w:rFonts w:cs="Segoe UI"/>
          <w:i/>
          <w:iCs/>
          <w:sz w:val="20"/>
          <w:szCs w:val="20"/>
          <w:lang w:val="sv-SE"/>
        </w:rPr>
        <w:t xml:space="preserve"> dasar-dasar </w:t>
      </w:r>
      <w:proofErr w:type="spellStart"/>
      <w:r w:rsidRPr="008616DC">
        <w:rPr>
          <w:rFonts w:cs="Segoe UI"/>
          <w:i/>
          <w:iCs/>
          <w:sz w:val="20"/>
          <w:szCs w:val="20"/>
          <w:lang w:val="sv-SE"/>
        </w:rPr>
        <w:t>negara</w:t>
      </w:r>
      <w:proofErr w:type="spellEnd"/>
      <w:r w:rsidRPr="008616DC">
        <w:rPr>
          <w:rFonts w:cs="Segoe UI"/>
          <w:sz w:val="20"/>
          <w:szCs w:val="20"/>
          <w:lang w:val="sv-SE"/>
        </w:rPr>
        <w:t xml:space="preserve">. </w:t>
      </w:r>
      <w:proofErr w:type="spellStart"/>
      <w:r w:rsidRPr="008616DC">
        <w:rPr>
          <w:rFonts w:cs="Segoe UI"/>
          <w:sz w:val="20"/>
          <w:szCs w:val="20"/>
          <w:lang w:val="sv-SE"/>
        </w:rPr>
        <w:t>Oesaha</w:t>
      </w:r>
      <w:proofErr w:type="spellEnd"/>
      <w:r w:rsidRPr="008616DC">
        <w:rPr>
          <w:rFonts w:cs="Segoe UI"/>
          <w:sz w:val="20"/>
          <w:szCs w:val="20"/>
          <w:lang w:val="sv-SE"/>
        </w:rPr>
        <w:t xml:space="preserve"> </w:t>
      </w:r>
      <w:proofErr w:type="spellStart"/>
      <w:r w:rsidRPr="008616DC">
        <w:rPr>
          <w:rFonts w:cs="Segoe UI"/>
          <w:sz w:val="20"/>
          <w:szCs w:val="20"/>
          <w:lang w:val="sv-SE"/>
        </w:rPr>
        <w:t>Penerbitan</w:t>
      </w:r>
      <w:proofErr w:type="spellEnd"/>
      <w:r w:rsidRPr="008616DC">
        <w:rPr>
          <w:rFonts w:cs="Segoe UI"/>
          <w:sz w:val="20"/>
          <w:szCs w:val="20"/>
          <w:lang w:val="sv-SE"/>
        </w:rPr>
        <w:t xml:space="preserve"> </w:t>
      </w:r>
      <w:proofErr w:type="spellStart"/>
      <w:r w:rsidRPr="008616DC">
        <w:rPr>
          <w:rFonts w:cs="Segoe UI"/>
          <w:sz w:val="20"/>
          <w:szCs w:val="20"/>
          <w:lang w:val="sv-SE"/>
        </w:rPr>
        <w:t>Goentoer</w:t>
      </w:r>
      <w:proofErr w:type="spellEnd"/>
      <w:r w:rsidRPr="008616DC">
        <w:rPr>
          <w:rFonts w:cs="Segoe UI"/>
          <w:sz w:val="20"/>
          <w:szCs w:val="20"/>
          <w:lang w:val="sv-SE"/>
        </w:rPr>
        <w:t>.</w:t>
      </w:r>
    </w:p>
    <w:p w14:paraId="3A5128BB"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Fuady</w:t>
      </w:r>
      <w:proofErr w:type="spellEnd"/>
      <w:r w:rsidRPr="008616DC">
        <w:rPr>
          <w:rFonts w:cs="Segoe UI"/>
          <w:sz w:val="20"/>
          <w:szCs w:val="20"/>
          <w:lang w:val="sv-SE"/>
        </w:rPr>
        <w:t xml:space="preserve">, M. (2003).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kontrak</w:t>
      </w:r>
      <w:proofErr w:type="spellEnd"/>
      <w:r w:rsidRPr="008616DC">
        <w:rPr>
          <w:rFonts w:cs="Segoe UI"/>
          <w:i/>
          <w:iCs/>
          <w:sz w:val="20"/>
          <w:szCs w:val="20"/>
          <w:lang w:val="sv-SE"/>
        </w:rPr>
        <w:t xml:space="preserve">: Dari </w:t>
      </w:r>
      <w:proofErr w:type="spellStart"/>
      <w:r w:rsidRPr="008616DC">
        <w:rPr>
          <w:rFonts w:cs="Segoe UI"/>
          <w:i/>
          <w:iCs/>
          <w:sz w:val="20"/>
          <w:szCs w:val="20"/>
          <w:lang w:val="sv-SE"/>
        </w:rPr>
        <w:t>sudut</w:t>
      </w:r>
      <w:proofErr w:type="spellEnd"/>
      <w:r w:rsidRPr="008616DC">
        <w:rPr>
          <w:rFonts w:cs="Segoe UI"/>
          <w:i/>
          <w:iCs/>
          <w:sz w:val="20"/>
          <w:szCs w:val="20"/>
          <w:lang w:val="sv-SE"/>
        </w:rPr>
        <w:t xml:space="preserve"> </w:t>
      </w:r>
      <w:proofErr w:type="spellStart"/>
      <w:r w:rsidRPr="008616DC">
        <w:rPr>
          <w:rFonts w:cs="Segoe UI"/>
          <w:i/>
          <w:iCs/>
          <w:sz w:val="20"/>
          <w:szCs w:val="20"/>
          <w:lang w:val="sv-SE"/>
        </w:rPr>
        <w:t>pandang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bisnis</w:t>
      </w:r>
      <w:proofErr w:type="spellEnd"/>
      <w:r w:rsidRPr="008616DC">
        <w:rPr>
          <w:rFonts w:cs="Segoe UI"/>
          <w:sz w:val="20"/>
          <w:szCs w:val="20"/>
          <w:lang w:val="sv-SE"/>
        </w:rPr>
        <w:t xml:space="preserve"> (</w:t>
      </w:r>
      <w:proofErr w:type="spellStart"/>
      <w:r w:rsidRPr="008616DC">
        <w:rPr>
          <w:rFonts w:cs="Segoe UI"/>
          <w:sz w:val="20"/>
          <w:szCs w:val="20"/>
          <w:lang w:val="sv-SE"/>
        </w:rPr>
        <w:t>Buku</w:t>
      </w:r>
      <w:proofErr w:type="spellEnd"/>
      <w:r w:rsidRPr="008616DC">
        <w:rPr>
          <w:rFonts w:cs="Segoe UI"/>
          <w:sz w:val="20"/>
          <w:szCs w:val="20"/>
          <w:lang w:val="sv-SE"/>
        </w:rPr>
        <w:t xml:space="preserve"> </w:t>
      </w:r>
      <w:proofErr w:type="spellStart"/>
      <w:r w:rsidRPr="008616DC">
        <w:rPr>
          <w:rFonts w:cs="Segoe UI"/>
          <w:sz w:val="20"/>
          <w:szCs w:val="20"/>
          <w:lang w:val="sv-SE"/>
        </w:rPr>
        <w:t>Kedua</w:t>
      </w:r>
      <w:proofErr w:type="spellEnd"/>
      <w:r w:rsidRPr="008616DC">
        <w:rPr>
          <w:rFonts w:cs="Segoe UI"/>
          <w:sz w:val="20"/>
          <w:szCs w:val="20"/>
          <w:lang w:val="sv-SE"/>
        </w:rPr>
        <w:t xml:space="preserve">). PT </w:t>
      </w:r>
      <w:proofErr w:type="spellStart"/>
      <w:r w:rsidRPr="008616DC">
        <w:rPr>
          <w:rFonts w:cs="Segoe UI"/>
          <w:sz w:val="20"/>
          <w:szCs w:val="20"/>
          <w:lang w:val="sv-SE"/>
        </w:rPr>
        <w:t>Citra</w:t>
      </w:r>
      <w:proofErr w:type="spellEnd"/>
      <w:r w:rsidRPr="008616DC">
        <w:rPr>
          <w:rFonts w:cs="Segoe UI"/>
          <w:sz w:val="20"/>
          <w:szCs w:val="20"/>
          <w:lang w:val="sv-SE"/>
        </w:rPr>
        <w:t xml:space="preserve"> </w:t>
      </w:r>
      <w:proofErr w:type="spellStart"/>
      <w:r w:rsidRPr="008616DC">
        <w:rPr>
          <w:rFonts w:cs="Segoe UI"/>
          <w:sz w:val="20"/>
          <w:szCs w:val="20"/>
          <w:lang w:val="sv-SE"/>
        </w:rPr>
        <w:t>Aditya</w:t>
      </w:r>
      <w:proofErr w:type="spellEnd"/>
      <w:r w:rsidRPr="008616DC">
        <w:rPr>
          <w:rFonts w:cs="Segoe UI"/>
          <w:sz w:val="20"/>
          <w:szCs w:val="20"/>
          <w:lang w:val="sv-SE"/>
        </w:rPr>
        <w:t xml:space="preserve"> </w:t>
      </w:r>
      <w:proofErr w:type="spellStart"/>
      <w:r w:rsidRPr="008616DC">
        <w:rPr>
          <w:rFonts w:cs="Segoe UI"/>
          <w:sz w:val="20"/>
          <w:szCs w:val="20"/>
          <w:lang w:val="sv-SE"/>
        </w:rPr>
        <w:t>Bakti</w:t>
      </w:r>
      <w:proofErr w:type="spellEnd"/>
      <w:r w:rsidRPr="008616DC">
        <w:rPr>
          <w:rFonts w:cs="Segoe UI"/>
          <w:sz w:val="20"/>
          <w:szCs w:val="20"/>
          <w:lang w:val="sv-SE"/>
        </w:rPr>
        <w:t>.</w:t>
      </w:r>
    </w:p>
    <w:p w14:paraId="569470C3"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Notonagoro</w:t>
      </w:r>
      <w:proofErr w:type="spellEnd"/>
      <w:r w:rsidRPr="008616DC">
        <w:rPr>
          <w:rFonts w:cs="Segoe UI"/>
          <w:sz w:val="20"/>
          <w:szCs w:val="20"/>
          <w:lang w:val="sv-SE"/>
        </w:rPr>
        <w:t xml:space="preserve">. (1975). </w:t>
      </w:r>
      <w:proofErr w:type="spellStart"/>
      <w:r w:rsidRPr="008616DC">
        <w:rPr>
          <w:rFonts w:cs="Segoe UI"/>
          <w:i/>
          <w:iCs/>
          <w:sz w:val="20"/>
          <w:szCs w:val="20"/>
          <w:lang w:val="sv-SE"/>
        </w:rPr>
        <w:t>Pancasila</w:t>
      </w:r>
      <w:proofErr w:type="spellEnd"/>
      <w:r w:rsidRPr="008616DC">
        <w:rPr>
          <w:rFonts w:cs="Segoe UI"/>
          <w:i/>
          <w:iCs/>
          <w:sz w:val="20"/>
          <w:szCs w:val="20"/>
          <w:lang w:val="sv-SE"/>
        </w:rPr>
        <w:t xml:space="preserve"> </w:t>
      </w:r>
      <w:proofErr w:type="spellStart"/>
      <w:r w:rsidRPr="008616DC">
        <w:rPr>
          <w:rFonts w:cs="Segoe UI"/>
          <w:i/>
          <w:iCs/>
          <w:sz w:val="20"/>
          <w:szCs w:val="20"/>
          <w:lang w:val="sv-SE"/>
        </w:rPr>
        <w:t>secara</w:t>
      </w:r>
      <w:proofErr w:type="spellEnd"/>
      <w:r w:rsidRPr="008616DC">
        <w:rPr>
          <w:rFonts w:cs="Segoe UI"/>
          <w:i/>
          <w:iCs/>
          <w:sz w:val="20"/>
          <w:szCs w:val="20"/>
          <w:lang w:val="sv-SE"/>
        </w:rPr>
        <w:t xml:space="preserve"> </w:t>
      </w:r>
      <w:proofErr w:type="spellStart"/>
      <w:r w:rsidRPr="008616DC">
        <w:rPr>
          <w:rFonts w:cs="Segoe UI"/>
          <w:i/>
          <w:iCs/>
          <w:sz w:val="20"/>
          <w:szCs w:val="20"/>
          <w:lang w:val="sv-SE"/>
        </w:rPr>
        <w:t>ilmiah</w:t>
      </w:r>
      <w:proofErr w:type="spellEnd"/>
      <w:r w:rsidRPr="008616DC">
        <w:rPr>
          <w:rFonts w:cs="Segoe UI"/>
          <w:i/>
          <w:iCs/>
          <w:sz w:val="20"/>
          <w:szCs w:val="20"/>
          <w:lang w:val="sv-SE"/>
        </w:rPr>
        <w:t xml:space="preserve"> </w:t>
      </w:r>
      <w:proofErr w:type="spellStart"/>
      <w:r w:rsidRPr="008616DC">
        <w:rPr>
          <w:rFonts w:cs="Segoe UI"/>
          <w:i/>
          <w:iCs/>
          <w:sz w:val="20"/>
          <w:szCs w:val="20"/>
          <w:lang w:val="sv-SE"/>
        </w:rPr>
        <w:t>populer</w:t>
      </w:r>
      <w:proofErr w:type="spellEnd"/>
      <w:r w:rsidRPr="008616DC">
        <w:rPr>
          <w:rFonts w:cs="Segoe UI"/>
          <w:sz w:val="20"/>
          <w:szCs w:val="20"/>
          <w:lang w:val="sv-SE"/>
        </w:rPr>
        <w:t xml:space="preserve">. Pantjuran </w:t>
      </w:r>
      <w:proofErr w:type="spellStart"/>
      <w:r w:rsidRPr="008616DC">
        <w:rPr>
          <w:rFonts w:cs="Segoe UI"/>
          <w:sz w:val="20"/>
          <w:szCs w:val="20"/>
          <w:lang w:val="sv-SE"/>
        </w:rPr>
        <w:t>Tujuh</w:t>
      </w:r>
      <w:proofErr w:type="spellEnd"/>
      <w:r w:rsidRPr="008616DC">
        <w:rPr>
          <w:rFonts w:cs="Segoe UI"/>
          <w:sz w:val="20"/>
          <w:szCs w:val="20"/>
          <w:lang w:val="sv-SE"/>
        </w:rPr>
        <w:t>.</w:t>
      </w:r>
    </w:p>
    <w:p w14:paraId="17B6D916"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Qamar</w:t>
      </w:r>
      <w:proofErr w:type="spellEnd"/>
      <w:r w:rsidRPr="008616DC">
        <w:rPr>
          <w:rFonts w:cs="Segoe UI"/>
          <w:sz w:val="20"/>
          <w:szCs w:val="20"/>
          <w:lang w:val="sv-SE"/>
        </w:rPr>
        <w:t xml:space="preserve">, N. (2013). </w:t>
      </w:r>
      <w:r w:rsidRPr="008616DC">
        <w:rPr>
          <w:rFonts w:cs="Segoe UI"/>
          <w:i/>
          <w:iCs/>
          <w:sz w:val="20"/>
          <w:szCs w:val="20"/>
          <w:lang w:val="sv-SE"/>
        </w:rPr>
        <w:t xml:space="preserve">Hak </w:t>
      </w:r>
      <w:proofErr w:type="spellStart"/>
      <w:r w:rsidRPr="008616DC">
        <w:rPr>
          <w:rFonts w:cs="Segoe UI"/>
          <w:i/>
          <w:iCs/>
          <w:sz w:val="20"/>
          <w:szCs w:val="20"/>
          <w:lang w:val="sv-SE"/>
        </w:rPr>
        <w:t>asasi</w:t>
      </w:r>
      <w:proofErr w:type="spellEnd"/>
      <w:r w:rsidRPr="008616DC">
        <w:rPr>
          <w:rFonts w:cs="Segoe UI"/>
          <w:i/>
          <w:iCs/>
          <w:sz w:val="20"/>
          <w:szCs w:val="20"/>
          <w:lang w:val="sv-SE"/>
        </w:rPr>
        <w:t xml:space="preserve"> </w:t>
      </w:r>
      <w:proofErr w:type="spellStart"/>
      <w:r w:rsidRPr="008616DC">
        <w:rPr>
          <w:rFonts w:cs="Segoe UI"/>
          <w:i/>
          <w:iCs/>
          <w:sz w:val="20"/>
          <w:szCs w:val="20"/>
          <w:lang w:val="sv-SE"/>
        </w:rPr>
        <w:t>manusia</w:t>
      </w:r>
      <w:proofErr w:type="spellEnd"/>
      <w:r w:rsidRPr="008616DC">
        <w:rPr>
          <w:rFonts w:cs="Segoe UI"/>
          <w:i/>
          <w:iCs/>
          <w:sz w:val="20"/>
          <w:szCs w:val="20"/>
          <w:lang w:val="sv-SE"/>
        </w:rPr>
        <w:t xml:space="preserve"> </w:t>
      </w:r>
      <w:proofErr w:type="spellStart"/>
      <w:r w:rsidRPr="008616DC">
        <w:rPr>
          <w:rFonts w:cs="Segoe UI"/>
          <w:i/>
          <w:iCs/>
          <w:sz w:val="20"/>
          <w:szCs w:val="20"/>
          <w:lang w:val="sv-SE"/>
        </w:rPr>
        <w:t>dalam</w:t>
      </w:r>
      <w:proofErr w:type="spellEnd"/>
      <w:r w:rsidRPr="008616DC">
        <w:rPr>
          <w:rFonts w:cs="Segoe UI"/>
          <w:i/>
          <w:iCs/>
          <w:sz w:val="20"/>
          <w:szCs w:val="20"/>
          <w:lang w:val="sv-SE"/>
        </w:rPr>
        <w:t xml:space="preserve"> </w:t>
      </w:r>
      <w:proofErr w:type="spellStart"/>
      <w:r w:rsidRPr="008616DC">
        <w:rPr>
          <w:rFonts w:cs="Segoe UI"/>
          <w:i/>
          <w:iCs/>
          <w:sz w:val="20"/>
          <w:szCs w:val="20"/>
          <w:lang w:val="sv-SE"/>
        </w:rPr>
        <w:t>negara</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demokrasi</w:t>
      </w:r>
      <w:proofErr w:type="spellEnd"/>
      <w:r w:rsidRPr="008616DC">
        <w:rPr>
          <w:rFonts w:cs="Segoe UI"/>
          <w:sz w:val="20"/>
          <w:szCs w:val="20"/>
          <w:lang w:val="sv-SE"/>
        </w:rPr>
        <w:t xml:space="preserve">. Sinar </w:t>
      </w:r>
      <w:proofErr w:type="spellStart"/>
      <w:r w:rsidRPr="008616DC">
        <w:rPr>
          <w:rFonts w:cs="Segoe UI"/>
          <w:sz w:val="20"/>
          <w:szCs w:val="20"/>
          <w:lang w:val="sv-SE"/>
        </w:rPr>
        <w:t>Grafika</w:t>
      </w:r>
      <w:proofErr w:type="spellEnd"/>
      <w:r w:rsidRPr="008616DC">
        <w:rPr>
          <w:rFonts w:cs="Segoe UI"/>
          <w:sz w:val="20"/>
          <w:szCs w:val="20"/>
          <w:lang w:val="sv-SE"/>
        </w:rPr>
        <w:t>.</w:t>
      </w:r>
    </w:p>
    <w:p w14:paraId="5CB2D837"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Marzuki</w:t>
      </w:r>
      <w:proofErr w:type="spellEnd"/>
      <w:r w:rsidRPr="008616DC">
        <w:rPr>
          <w:rFonts w:cs="Segoe UI"/>
          <w:sz w:val="20"/>
          <w:szCs w:val="20"/>
          <w:lang w:val="sv-SE"/>
        </w:rPr>
        <w:t xml:space="preserve">, P. M. (2008). </w:t>
      </w:r>
      <w:proofErr w:type="spellStart"/>
      <w:r w:rsidRPr="008616DC">
        <w:rPr>
          <w:rFonts w:cs="Segoe UI"/>
          <w:i/>
          <w:iCs/>
          <w:sz w:val="20"/>
          <w:szCs w:val="20"/>
          <w:lang w:val="sv-SE"/>
        </w:rPr>
        <w:t>Pengantar</w:t>
      </w:r>
      <w:proofErr w:type="spellEnd"/>
      <w:r w:rsidRPr="008616DC">
        <w:rPr>
          <w:rFonts w:cs="Segoe UI"/>
          <w:i/>
          <w:iCs/>
          <w:sz w:val="20"/>
          <w:szCs w:val="20"/>
          <w:lang w:val="sv-SE"/>
        </w:rPr>
        <w:t xml:space="preserve"> </w:t>
      </w:r>
      <w:proofErr w:type="spellStart"/>
      <w:r w:rsidRPr="008616DC">
        <w:rPr>
          <w:rFonts w:cs="Segoe UI"/>
          <w:i/>
          <w:iCs/>
          <w:sz w:val="20"/>
          <w:szCs w:val="20"/>
          <w:lang w:val="sv-SE"/>
        </w:rPr>
        <w:t>ilmu</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sz w:val="20"/>
          <w:szCs w:val="20"/>
          <w:lang w:val="sv-SE"/>
        </w:rPr>
        <w:t xml:space="preserve">. </w:t>
      </w:r>
      <w:proofErr w:type="spellStart"/>
      <w:r w:rsidRPr="008616DC">
        <w:rPr>
          <w:rFonts w:cs="Segoe UI"/>
          <w:sz w:val="20"/>
          <w:szCs w:val="20"/>
          <w:lang w:val="sv-SE"/>
        </w:rPr>
        <w:t>Kencana</w:t>
      </w:r>
      <w:proofErr w:type="spellEnd"/>
      <w:r w:rsidRPr="008616DC">
        <w:rPr>
          <w:rFonts w:cs="Segoe UI"/>
          <w:sz w:val="20"/>
          <w:szCs w:val="20"/>
          <w:lang w:val="sv-SE"/>
        </w:rPr>
        <w:t xml:space="preserve"> </w:t>
      </w:r>
      <w:proofErr w:type="spellStart"/>
      <w:r w:rsidRPr="008616DC">
        <w:rPr>
          <w:rFonts w:cs="Segoe UI"/>
          <w:sz w:val="20"/>
          <w:szCs w:val="20"/>
          <w:lang w:val="sv-SE"/>
        </w:rPr>
        <w:t>Prenada</w:t>
      </w:r>
      <w:proofErr w:type="spellEnd"/>
      <w:r w:rsidRPr="008616DC">
        <w:rPr>
          <w:rFonts w:cs="Segoe UI"/>
          <w:sz w:val="20"/>
          <w:szCs w:val="20"/>
          <w:lang w:val="sv-SE"/>
        </w:rPr>
        <w:t xml:space="preserve"> Media Group.</w:t>
      </w:r>
    </w:p>
    <w:p w14:paraId="541D8ACC"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lastRenderedPageBreak/>
        <w:t>Wery</w:t>
      </w:r>
      <w:proofErr w:type="spellEnd"/>
      <w:r w:rsidRPr="008616DC">
        <w:rPr>
          <w:rFonts w:cs="Segoe UI"/>
          <w:sz w:val="20"/>
          <w:szCs w:val="20"/>
          <w:lang w:val="sv-SE"/>
        </w:rPr>
        <w:t xml:space="preserve">, P. L. (1990). </w:t>
      </w:r>
      <w:proofErr w:type="spellStart"/>
      <w:r w:rsidRPr="008616DC">
        <w:rPr>
          <w:rFonts w:cs="Segoe UI"/>
          <w:i/>
          <w:iCs/>
          <w:sz w:val="20"/>
          <w:szCs w:val="20"/>
          <w:lang w:val="sv-SE"/>
        </w:rPr>
        <w:t>Perkembangan</w:t>
      </w:r>
      <w:proofErr w:type="spellEnd"/>
      <w:r w:rsidRPr="008616DC">
        <w:rPr>
          <w:rFonts w:cs="Segoe UI"/>
          <w:i/>
          <w:iCs/>
          <w:sz w:val="20"/>
          <w:szCs w:val="20"/>
          <w:lang w:val="sv-SE"/>
        </w:rPr>
        <w:t xml:space="preserve">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tentang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iktikad</w:t>
      </w:r>
      <w:proofErr w:type="spellEnd"/>
      <w:r w:rsidRPr="008616DC">
        <w:rPr>
          <w:rFonts w:cs="Segoe UI"/>
          <w:i/>
          <w:iCs/>
          <w:sz w:val="20"/>
          <w:szCs w:val="20"/>
          <w:lang w:val="sv-SE"/>
        </w:rPr>
        <w:t xml:space="preserve"> </w:t>
      </w:r>
      <w:proofErr w:type="spellStart"/>
      <w:r w:rsidRPr="008616DC">
        <w:rPr>
          <w:rFonts w:cs="Segoe UI"/>
          <w:i/>
          <w:iCs/>
          <w:sz w:val="20"/>
          <w:szCs w:val="20"/>
          <w:lang w:val="sv-SE"/>
        </w:rPr>
        <w:t>baik</w:t>
      </w:r>
      <w:proofErr w:type="spellEnd"/>
      <w:r w:rsidRPr="008616DC">
        <w:rPr>
          <w:rFonts w:cs="Segoe UI"/>
          <w:i/>
          <w:iCs/>
          <w:sz w:val="20"/>
          <w:szCs w:val="20"/>
          <w:lang w:val="sv-SE"/>
        </w:rPr>
        <w:t xml:space="preserve"> di </w:t>
      </w:r>
      <w:proofErr w:type="spellStart"/>
      <w:r w:rsidRPr="008616DC">
        <w:rPr>
          <w:rFonts w:cs="Segoe UI"/>
          <w:i/>
          <w:iCs/>
          <w:sz w:val="20"/>
          <w:szCs w:val="20"/>
          <w:lang w:val="sv-SE"/>
        </w:rPr>
        <w:t>Nederland</w:t>
      </w:r>
      <w:proofErr w:type="spellEnd"/>
      <w:r w:rsidRPr="008616DC">
        <w:rPr>
          <w:rFonts w:cs="Segoe UI"/>
          <w:sz w:val="20"/>
          <w:szCs w:val="20"/>
          <w:lang w:val="sv-SE"/>
        </w:rPr>
        <w:t xml:space="preserve">. </w:t>
      </w:r>
      <w:proofErr w:type="spellStart"/>
      <w:r w:rsidRPr="008616DC">
        <w:rPr>
          <w:rFonts w:cs="Segoe UI"/>
          <w:sz w:val="20"/>
          <w:szCs w:val="20"/>
          <w:lang w:val="sv-SE"/>
        </w:rPr>
        <w:t>Percetakan</w:t>
      </w:r>
      <w:proofErr w:type="spellEnd"/>
      <w:r w:rsidRPr="008616DC">
        <w:rPr>
          <w:rFonts w:cs="Segoe UI"/>
          <w:sz w:val="20"/>
          <w:szCs w:val="20"/>
          <w:lang w:val="sv-SE"/>
        </w:rPr>
        <w:t xml:space="preserve"> Negara RI.</w:t>
      </w:r>
    </w:p>
    <w:p w14:paraId="0C62A5A1"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8616DC">
        <w:rPr>
          <w:rFonts w:cs="Segoe UI"/>
          <w:sz w:val="20"/>
          <w:szCs w:val="20"/>
          <w:lang w:val="sv-SE"/>
        </w:rPr>
        <w:t>Nugroho</w:t>
      </w:r>
      <w:proofErr w:type="spellEnd"/>
      <w:r w:rsidRPr="008616DC">
        <w:rPr>
          <w:rFonts w:cs="Segoe UI"/>
          <w:sz w:val="20"/>
          <w:szCs w:val="20"/>
          <w:lang w:val="sv-SE"/>
        </w:rPr>
        <w:t xml:space="preserve">, S. A. (2008). </w:t>
      </w:r>
      <w:proofErr w:type="spellStart"/>
      <w:r w:rsidRPr="008616DC">
        <w:rPr>
          <w:rFonts w:cs="Segoe UI"/>
          <w:i/>
          <w:iCs/>
          <w:sz w:val="20"/>
          <w:szCs w:val="20"/>
          <w:lang w:val="sv-SE"/>
        </w:rPr>
        <w:t>Proses</w:t>
      </w:r>
      <w:proofErr w:type="spellEnd"/>
      <w:r w:rsidRPr="008616DC">
        <w:rPr>
          <w:rFonts w:cs="Segoe UI"/>
          <w:i/>
          <w:iCs/>
          <w:sz w:val="20"/>
          <w:szCs w:val="20"/>
          <w:lang w:val="sv-SE"/>
        </w:rPr>
        <w:t xml:space="preserve"> </w:t>
      </w:r>
      <w:proofErr w:type="spellStart"/>
      <w:r w:rsidRPr="008616DC">
        <w:rPr>
          <w:rFonts w:cs="Segoe UI"/>
          <w:i/>
          <w:iCs/>
          <w:sz w:val="20"/>
          <w:szCs w:val="20"/>
          <w:lang w:val="sv-SE"/>
        </w:rPr>
        <w:t>penyelesaian</w:t>
      </w:r>
      <w:proofErr w:type="spellEnd"/>
      <w:r w:rsidRPr="008616DC">
        <w:rPr>
          <w:rFonts w:cs="Segoe UI"/>
          <w:i/>
          <w:iCs/>
          <w:sz w:val="20"/>
          <w:szCs w:val="20"/>
          <w:lang w:val="sv-SE"/>
        </w:rPr>
        <w:t xml:space="preserve"> </w:t>
      </w:r>
      <w:proofErr w:type="spellStart"/>
      <w:r w:rsidRPr="008616DC">
        <w:rPr>
          <w:rFonts w:cs="Segoe UI"/>
          <w:i/>
          <w:iCs/>
          <w:sz w:val="20"/>
          <w:szCs w:val="20"/>
          <w:lang w:val="sv-SE"/>
        </w:rPr>
        <w:t>sengketa</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konsumen</w:t>
      </w:r>
      <w:proofErr w:type="spellEnd"/>
      <w:r w:rsidRPr="008616DC">
        <w:rPr>
          <w:rFonts w:cs="Segoe UI"/>
          <w:i/>
          <w:iCs/>
          <w:sz w:val="20"/>
          <w:szCs w:val="20"/>
          <w:lang w:val="sv-SE"/>
        </w:rPr>
        <w:t xml:space="preserve"> </w:t>
      </w:r>
      <w:proofErr w:type="spellStart"/>
      <w:r w:rsidRPr="008616DC">
        <w:rPr>
          <w:rFonts w:cs="Segoe UI"/>
          <w:i/>
          <w:iCs/>
          <w:sz w:val="20"/>
          <w:szCs w:val="20"/>
          <w:lang w:val="sv-SE"/>
        </w:rPr>
        <w:t>ditinjau</w:t>
      </w:r>
      <w:proofErr w:type="spellEnd"/>
      <w:r w:rsidRPr="008616DC">
        <w:rPr>
          <w:rFonts w:cs="Segoe UI"/>
          <w:i/>
          <w:iCs/>
          <w:sz w:val="20"/>
          <w:szCs w:val="20"/>
          <w:lang w:val="sv-SE"/>
        </w:rPr>
        <w:t xml:space="preserve"> dari </w:t>
      </w:r>
      <w:proofErr w:type="spellStart"/>
      <w:r w:rsidRPr="008616DC">
        <w:rPr>
          <w:rFonts w:cs="Segoe UI"/>
          <w:i/>
          <w:iCs/>
          <w:sz w:val="20"/>
          <w:szCs w:val="20"/>
          <w:lang w:val="sv-SE"/>
        </w:rPr>
        <w:t>hukum</w:t>
      </w:r>
      <w:proofErr w:type="spellEnd"/>
      <w:r w:rsidRPr="008616DC">
        <w:rPr>
          <w:rFonts w:cs="Segoe UI"/>
          <w:i/>
          <w:iCs/>
          <w:sz w:val="20"/>
          <w:szCs w:val="20"/>
          <w:lang w:val="sv-SE"/>
        </w:rPr>
        <w:t xml:space="preserve"> </w:t>
      </w:r>
      <w:proofErr w:type="spellStart"/>
      <w:r w:rsidRPr="008616DC">
        <w:rPr>
          <w:rFonts w:cs="Segoe UI"/>
          <w:i/>
          <w:iCs/>
          <w:sz w:val="20"/>
          <w:szCs w:val="20"/>
          <w:lang w:val="sv-SE"/>
        </w:rPr>
        <w:t>acara</w:t>
      </w:r>
      <w:proofErr w:type="spellEnd"/>
      <w:r w:rsidRPr="008616DC">
        <w:rPr>
          <w:rFonts w:cs="Segoe UI"/>
          <w:i/>
          <w:iCs/>
          <w:sz w:val="20"/>
          <w:szCs w:val="20"/>
          <w:lang w:val="sv-SE"/>
        </w:rPr>
        <w:t xml:space="preserve"> </w:t>
      </w:r>
      <w:proofErr w:type="spellStart"/>
      <w:r w:rsidRPr="008616DC">
        <w:rPr>
          <w:rFonts w:cs="Segoe UI"/>
          <w:i/>
          <w:iCs/>
          <w:sz w:val="20"/>
          <w:szCs w:val="20"/>
          <w:lang w:val="sv-SE"/>
        </w:rPr>
        <w:t>serta</w:t>
      </w:r>
      <w:proofErr w:type="spellEnd"/>
      <w:r w:rsidRPr="008616DC">
        <w:rPr>
          <w:rFonts w:cs="Segoe UI"/>
          <w:i/>
          <w:iCs/>
          <w:sz w:val="20"/>
          <w:szCs w:val="20"/>
          <w:lang w:val="sv-SE"/>
        </w:rPr>
        <w:t xml:space="preserve"> </w:t>
      </w:r>
      <w:proofErr w:type="spellStart"/>
      <w:r w:rsidRPr="008616DC">
        <w:rPr>
          <w:rFonts w:cs="Segoe UI"/>
          <w:i/>
          <w:iCs/>
          <w:sz w:val="20"/>
          <w:szCs w:val="20"/>
          <w:lang w:val="sv-SE"/>
        </w:rPr>
        <w:t>kendala</w:t>
      </w:r>
      <w:proofErr w:type="spellEnd"/>
      <w:r w:rsidRPr="008616DC">
        <w:rPr>
          <w:rFonts w:cs="Segoe UI"/>
          <w:i/>
          <w:iCs/>
          <w:sz w:val="20"/>
          <w:szCs w:val="20"/>
          <w:lang w:val="sv-SE"/>
        </w:rPr>
        <w:t xml:space="preserve"> </w:t>
      </w:r>
      <w:proofErr w:type="spellStart"/>
      <w:r w:rsidRPr="008616DC">
        <w:rPr>
          <w:rFonts w:cs="Segoe UI"/>
          <w:i/>
          <w:iCs/>
          <w:sz w:val="20"/>
          <w:szCs w:val="20"/>
          <w:lang w:val="sv-SE"/>
        </w:rPr>
        <w:t>implementasinya</w:t>
      </w:r>
      <w:proofErr w:type="spellEnd"/>
      <w:r w:rsidRPr="008616DC">
        <w:rPr>
          <w:rFonts w:cs="Segoe UI"/>
          <w:sz w:val="20"/>
          <w:szCs w:val="20"/>
          <w:lang w:val="sv-SE"/>
        </w:rPr>
        <w:t xml:space="preserve">. </w:t>
      </w:r>
      <w:proofErr w:type="spellStart"/>
      <w:r w:rsidRPr="008616DC">
        <w:rPr>
          <w:rFonts w:cs="Segoe UI"/>
          <w:sz w:val="20"/>
          <w:szCs w:val="20"/>
          <w:lang w:val="sv-SE"/>
        </w:rPr>
        <w:t>Kencana</w:t>
      </w:r>
      <w:proofErr w:type="spellEnd"/>
      <w:r w:rsidRPr="008616DC">
        <w:rPr>
          <w:rFonts w:cs="Segoe UI"/>
          <w:sz w:val="20"/>
          <w:szCs w:val="20"/>
          <w:lang w:val="sv-SE"/>
        </w:rPr>
        <w:t>.</w:t>
      </w:r>
    </w:p>
    <w:p w14:paraId="36192418" w14:textId="290E0E58"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rPr>
      </w:pPr>
      <w:r w:rsidRPr="008616DC">
        <w:rPr>
          <w:rFonts w:cs="Segoe UI"/>
          <w:sz w:val="20"/>
          <w:szCs w:val="20"/>
        </w:rPr>
        <w:t xml:space="preserve">Satrio, J. (1993). </w:t>
      </w:r>
      <w:r w:rsidRPr="008616DC">
        <w:rPr>
          <w:rFonts w:cs="Segoe UI"/>
          <w:i/>
          <w:iCs/>
          <w:sz w:val="20"/>
          <w:szCs w:val="20"/>
        </w:rPr>
        <w:t>Hukum perikatan: Perikatan yang lahir pada umumnya</w:t>
      </w:r>
      <w:r w:rsidRPr="008616DC">
        <w:rPr>
          <w:rFonts w:cs="Segoe UI"/>
          <w:sz w:val="20"/>
          <w:szCs w:val="20"/>
        </w:rPr>
        <w:t>. Alumni.</w:t>
      </w:r>
    </w:p>
    <w:p w14:paraId="4CB2D005" w14:textId="3D7422C2"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rPr>
      </w:pPr>
      <w:r w:rsidRPr="008616DC">
        <w:rPr>
          <w:rFonts w:cs="Segoe UI"/>
          <w:sz w:val="20"/>
          <w:szCs w:val="20"/>
        </w:rPr>
        <w:t xml:space="preserve">Sjahdeini, S. R. (1993). </w:t>
      </w:r>
      <w:r w:rsidRPr="008616DC">
        <w:rPr>
          <w:rFonts w:cs="Segoe UI"/>
          <w:i/>
          <w:iCs/>
          <w:sz w:val="20"/>
          <w:szCs w:val="20"/>
        </w:rPr>
        <w:t>Kebebasan berkontrak dan kedudukan yang seimbang dari debitor dan kreditor</w:t>
      </w:r>
      <w:r w:rsidRPr="008616DC">
        <w:rPr>
          <w:rFonts w:cs="Segoe UI"/>
          <w:sz w:val="20"/>
          <w:szCs w:val="20"/>
        </w:rPr>
        <w:t>. Makalah Seminar Ikatan Notaris Indonesia, Surabaya, 27 April 1993.</w:t>
      </w:r>
    </w:p>
    <w:p w14:paraId="429179E3" w14:textId="219DDC1F"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rPr>
      </w:pPr>
      <w:r w:rsidRPr="008616DC">
        <w:rPr>
          <w:rFonts w:cs="Segoe UI"/>
          <w:sz w:val="20"/>
          <w:szCs w:val="20"/>
        </w:rPr>
        <w:t xml:space="preserve">Khairandy, R. (2003). </w:t>
      </w:r>
      <w:r w:rsidRPr="008616DC">
        <w:rPr>
          <w:rFonts w:cs="Segoe UI"/>
          <w:i/>
          <w:iCs/>
          <w:sz w:val="20"/>
          <w:szCs w:val="20"/>
        </w:rPr>
        <w:t>Iktikad baik dalam kebebasan berkontrak</w:t>
      </w:r>
      <w:r w:rsidRPr="008616DC">
        <w:rPr>
          <w:rFonts w:cs="Segoe UI"/>
          <w:sz w:val="20"/>
          <w:szCs w:val="20"/>
        </w:rPr>
        <w:t>. Fakultas Program Pascasarjana Fakultas Hukum Universitas Indonesia.</w:t>
      </w:r>
    </w:p>
    <w:p w14:paraId="45071CF1" w14:textId="666EF146"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rPr>
      </w:pPr>
      <w:r w:rsidRPr="008616DC">
        <w:rPr>
          <w:rFonts w:cs="Segoe UI"/>
          <w:sz w:val="20"/>
          <w:szCs w:val="20"/>
        </w:rPr>
        <w:t xml:space="preserve">Khairandy, R. (2013). </w:t>
      </w:r>
      <w:r w:rsidRPr="008616DC">
        <w:rPr>
          <w:rFonts w:cs="Segoe UI"/>
          <w:i/>
          <w:iCs/>
          <w:sz w:val="20"/>
          <w:szCs w:val="20"/>
        </w:rPr>
        <w:t>Hukum kontrak Indonesia dalam perspektif perbandingan</w:t>
      </w:r>
      <w:r w:rsidRPr="008616DC">
        <w:rPr>
          <w:rFonts w:cs="Segoe UI"/>
          <w:sz w:val="20"/>
          <w:szCs w:val="20"/>
        </w:rPr>
        <w:t>. FH UII Press.</w:t>
      </w:r>
    </w:p>
    <w:p w14:paraId="3A9581EB" w14:textId="0AD0E337" w:rsidR="008616DC" w:rsidRP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8616DC">
        <w:rPr>
          <w:rFonts w:cs="Segoe UI"/>
          <w:sz w:val="20"/>
          <w:szCs w:val="20"/>
        </w:rPr>
        <w:t xml:space="preserve">Idria, I. (2007). Ketidakadilan dalam kebebasan berkontrak dan kewenangan negara untuk membatasinya. </w:t>
      </w:r>
      <w:r w:rsidRPr="008616DC">
        <w:rPr>
          <w:rFonts w:cs="Segoe UI"/>
          <w:i/>
          <w:iCs/>
          <w:sz w:val="20"/>
          <w:szCs w:val="20"/>
        </w:rPr>
        <w:t>Lex Jurnalica, 4</w:t>
      </w:r>
      <w:r w:rsidRPr="008616DC">
        <w:rPr>
          <w:rFonts w:cs="Segoe UI"/>
          <w:sz w:val="20"/>
          <w:szCs w:val="20"/>
        </w:rPr>
        <w:t>(2).</w:t>
      </w:r>
    </w:p>
    <w:p w14:paraId="3F92035A"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8616DC">
        <w:rPr>
          <w:rFonts w:cs="Segoe UI"/>
          <w:sz w:val="20"/>
          <w:szCs w:val="20"/>
          <w:lang w:val="en-ID"/>
        </w:rPr>
        <w:t xml:space="preserve">Republik Indonesia. </w:t>
      </w:r>
      <w:r w:rsidRPr="008616DC">
        <w:rPr>
          <w:rFonts w:cs="Segoe UI"/>
          <w:i/>
          <w:iCs/>
          <w:sz w:val="20"/>
          <w:szCs w:val="20"/>
          <w:lang w:val="en-ID"/>
        </w:rPr>
        <w:t xml:space="preserve">Kitab </w:t>
      </w:r>
      <w:proofErr w:type="spellStart"/>
      <w:r w:rsidRPr="008616DC">
        <w:rPr>
          <w:rFonts w:cs="Segoe UI"/>
          <w:i/>
          <w:iCs/>
          <w:sz w:val="20"/>
          <w:szCs w:val="20"/>
          <w:lang w:val="en-ID"/>
        </w:rPr>
        <w:t>Undang-Undang</w:t>
      </w:r>
      <w:proofErr w:type="spellEnd"/>
      <w:r w:rsidRPr="008616DC">
        <w:rPr>
          <w:rFonts w:cs="Segoe UI"/>
          <w:i/>
          <w:iCs/>
          <w:sz w:val="20"/>
          <w:szCs w:val="20"/>
          <w:lang w:val="en-ID"/>
        </w:rPr>
        <w:t xml:space="preserve"> Hukum </w:t>
      </w:r>
      <w:proofErr w:type="spellStart"/>
      <w:r w:rsidRPr="008616DC">
        <w:rPr>
          <w:rFonts w:cs="Segoe UI"/>
          <w:i/>
          <w:iCs/>
          <w:sz w:val="20"/>
          <w:szCs w:val="20"/>
          <w:lang w:val="en-ID"/>
        </w:rPr>
        <w:t>Perdata</w:t>
      </w:r>
      <w:proofErr w:type="spellEnd"/>
      <w:r w:rsidRPr="008616DC">
        <w:rPr>
          <w:rFonts w:cs="Segoe UI"/>
          <w:i/>
          <w:iCs/>
          <w:sz w:val="20"/>
          <w:szCs w:val="20"/>
          <w:lang w:val="en-ID"/>
        </w:rPr>
        <w:t xml:space="preserve"> (KUH </w:t>
      </w:r>
      <w:proofErr w:type="spellStart"/>
      <w:r w:rsidRPr="008616DC">
        <w:rPr>
          <w:rFonts w:cs="Segoe UI"/>
          <w:i/>
          <w:iCs/>
          <w:sz w:val="20"/>
          <w:szCs w:val="20"/>
          <w:lang w:val="en-ID"/>
        </w:rPr>
        <w:t>Perdata</w:t>
      </w:r>
      <w:proofErr w:type="spellEnd"/>
      <w:r w:rsidRPr="008616DC">
        <w:rPr>
          <w:rFonts w:cs="Segoe UI"/>
          <w:i/>
          <w:iCs/>
          <w:sz w:val="20"/>
          <w:szCs w:val="20"/>
          <w:lang w:val="en-ID"/>
        </w:rPr>
        <w:t>)</w:t>
      </w:r>
      <w:r w:rsidRPr="008616DC">
        <w:rPr>
          <w:rFonts w:cs="Segoe UI"/>
          <w:sz w:val="20"/>
          <w:szCs w:val="20"/>
          <w:lang w:val="en-ID"/>
        </w:rPr>
        <w:t xml:space="preserve">, </w:t>
      </w:r>
      <w:proofErr w:type="spellStart"/>
      <w:r w:rsidRPr="008616DC">
        <w:rPr>
          <w:rFonts w:cs="Segoe UI"/>
          <w:sz w:val="20"/>
          <w:szCs w:val="20"/>
          <w:lang w:val="en-ID"/>
        </w:rPr>
        <w:t>khususnya</w:t>
      </w:r>
      <w:proofErr w:type="spellEnd"/>
      <w:r w:rsidRPr="008616DC">
        <w:rPr>
          <w:rFonts w:cs="Segoe UI"/>
          <w:sz w:val="20"/>
          <w:szCs w:val="20"/>
          <w:lang w:val="en-ID"/>
        </w:rPr>
        <w:t xml:space="preserve"> Pasal 1320, Pasal 1329, Pasal 1337, dan Pasal 1338.</w:t>
      </w:r>
    </w:p>
    <w:p w14:paraId="5F975A5A" w14:textId="77777777" w:rsidR="008616DC" w:rsidRPr="008616DC" w:rsidRDefault="008616DC" w:rsidP="008616D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lang w:val="en-ID"/>
        </w:rPr>
        <w:t xml:space="preserve">Republik Indonesia. </w:t>
      </w:r>
      <w:r w:rsidRPr="008616DC">
        <w:rPr>
          <w:rFonts w:cs="Segoe UI"/>
          <w:sz w:val="20"/>
          <w:szCs w:val="20"/>
          <w:lang w:val="sv-SE"/>
        </w:rPr>
        <w:t xml:space="preserve">(1999). </w:t>
      </w:r>
      <w:proofErr w:type="spellStart"/>
      <w:r w:rsidRPr="008616DC">
        <w:rPr>
          <w:rFonts w:cs="Segoe UI"/>
          <w:i/>
          <w:iCs/>
          <w:sz w:val="20"/>
          <w:szCs w:val="20"/>
          <w:lang w:val="sv-SE"/>
        </w:rPr>
        <w:t>Undang-Undang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Nomor</w:t>
      </w:r>
      <w:proofErr w:type="spellEnd"/>
      <w:r w:rsidRPr="008616DC">
        <w:rPr>
          <w:rFonts w:cs="Segoe UI"/>
          <w:i/>
          <w:iCs/>
          <w:sz w:val="20"/>
          <w:szCs w:val="20"/>
          <w:lang w:val="sv-SE"/>
        </w:rPr>
        <w:t xml:space="preserve"> 8 </w:t>
      </w:r>
      <w:proofErr w:type="spellStart"/>
      <w:r w:rsidRPr="008616DC">
        <w:rPr>
          <w:rFonts w:cs="Segoe UI"/>
          <w:i/>
          <w:iCs/>
          <w:sz w:val="20"/>
          <w:szCs w:val="20"/>
          <w:lang w:val="sv-SE"/>
        </w:rPr>
        <w:t>Tahun</w:t>
      </w:r>
      <w:proofErr w:type="spellEnd"/>
      <w:r w:rsidRPr="008616DC">
        <w:rPr>
          <w:rFonts w:cs="Segoe UI"/>
          <w:i/>
          <w:iCs/>
          <w:sz w:val="20"/>
          <w:szCs w:val="20"/>
          <w:lang w:val="sv-SE"/>
        </w:rPr>
        <w:t xml:space="preserve"> 1999 </w:t>
      </w:r>
      <w:proofErr w:type="spellStart"/>
      <w:r w:rsidRPr="008616DC">
        <w:rPr>
          <w:rFonts w:cs="Segoe UI"/>
          <w:i/>
          <w:iCs/>
          <w:sz w:val="20"/>
          <w:szCs w:val="20"/>
          <w:lang w:val="sv-SE"/>
        </w:rPr>
        <w:t>tentang</w:t>
      </w:r>
      <w:proofErr w:type="spellEnd"/>
      <w:r w:rsidRPr="008616DC">
        <w:rPr>
          <w:rFonts w:cs="Segoe UI"/>
          <w:i/>
          <w:iCs/>
          <w:sz w:val="20"/>
          <w:szCs w:val="20"/>
          <w:lang w:val="sv-SE"/>
        </w:rPr>
        <w:t xml:space="preserve"> </w:t>
      </w:r>
      <w:proofErr w:type="spellStart"/>
      <w:r w:rsidRPr="008616DC">
        <w:rPr>
          <w:rFonts w:cs="Segoe UI"/>
          <w:i/>
          <w:iCs/>
          <w:sz w:val="20"/>
          <w:szCs w:val="20"/>
          <w:lang w:val="sv-SE"/>
        </w:rPr>
        <w:t>Perlindungan</w:t>
      </w:r>
      <w:proofErr w:type="spellEnd"/>
      <w:r w:rsidRPr="008616DC">
        <w:rPr>
          <w:rFonts w:cs="Segoe UI"/>
          <w:i/>
          <w:iCs/>
          <w:sz w:val="20"/>
          <w:szCs w:val="20"/>
          <w:lang w:val="sv-SE"/>
        </w:rPr>
        <w:t xml:space="preserve"> </w:t>
      </w:r>
      <w:proofErr w:type="spellStart"/>
      <w:r w:rsidRPr="008616DC">
        <w:rPr>
          <w:rFonts w:cs="Segoe UI"/>
          <w:i/>
          <w:iCs/>
          <w:sz w:val="20"/>
          <w:szCs w:val="20"/>
          <w:lang w:val="sv-SE"/>
        </w:rPr>
        <w:t>Konsumen</w:t>
      </w:r>
      <w:proofErr w:type="spellEnd"/>
      <w:r w:rsidRPr="008616DC">
        <w:rPr>
          <w:rFonts w:cs="Segoe UI"/>
          <w:sz w:val="20"/>
          <w:szCs w:val="20"/>
          <w:lang w:val="sv-SE"/>
        </w:rPr>
        <w:t xml:space="preserve">, </w:t>
      </w:r>
      <w:proofErr w:type="spellStart"/>
      <w:r w:rsidRPr="008616DC">
        <w:rPr>
          <w:rFonts w:cs="Segoe UI"/>
          <w:sz w:val="20"/>
          <w:szCs w:val="20"/>
          <w:lang w:val="sv-SE"/>
        </w:rPr>
        <w:t>khususnya</w:t>
      </w:r>
      <w:proofErr w:type="spellEnd"/>
      <w:r w:rsidRPr="008616DC">
        <w:rPr>
          <w:rFonts w:cs="Segoe UI"/>
          <w:sz w:val="20"/>
          <w:szCs w:val="20"/>
          <w:lang w:val="sv-SE"/>
        </w:rPr>
        <w:t xml:space="preserve"> </w:t>
      </w:r>
      <w:proofErr w:type="spellStart"/>
      <w:r w:rsidRPr="008616DC">
        <w:rPr>
          <w:rFonts w:cs="Segoe UI"/>
          <w:sz w:val="20"/>
          <w:szCs w:val="20"/>
          <w:lang w:val="sv-SE"/>
        </w:rPr>
        <w:t>ketentuan</w:t>
      </w:r>
      <w:proofErr w:type="spellEnd"/>
      <w:r w:rsidRPr="008616DC">
        <w:rPr>
          <w:rFonts w:cs="Segoe UI"/>
          <w:sz w:val="20"/>
          <w:szCs w:val="20"/>
          <w:lang w:val="sv-SE"/>
        </w:rPr>
        <w:t xml:space="preserve"> </w:t>
      </w:r>
      <w:proofErr w:type="spellStart"/>
      <w:r w:rsidRPr="008616DC">
        <w:rPr>
          <w:rFonts w:cs="Segoe UI"/>
          <w:sz w:val="20"/>
          <w:szCs w:val="20"/>
          <w:lang w:val="sv-SE"/>
        </w:rPr>
        <w:t>mengenai</w:t>
      </w:r>
      <w:proofErr w:type="spellEnd"/>
      <w:r w:rsidRPr="008616DC">
        <w:rPr>
          <w:rFonts w:cs="Segoe UI"/>
          <w:sz w:val="20"/>
          <w:szCs w:val="20"/>
          <w:lang w:val="sv-SE"/>
        </w:rPr>
        <w:t xml:space="preserve"> </w:t>
      </w:r>
      <w:proofErr w:type="spellStart"/>
      <w:r w:rsidRPr="008616DC">
        <w:rPr>
          <w:rFonts w:cs="Segoe UI"/>
          <w:sz w:val="20"/>
          <w:szCs w:val="20"/>
          <w:lang w:val="sv-SE"/>
        </w:rPr>
        <w:t>klausula</w:t>
      </w:r>
      <w:proofErr w:type="spellEnd"/>
      <w:r w:rsidRPr="008616DC">
        <w:rPr>
          <w:rFonts w:cs="Segoe UI"/>
          <w:sz w:val="20"/>
          <w:szCs w:val="20"/>
          <w:lang w:val="sv-SE"/>
        </w:rPr>
        <w:t xml:space="preserve"> </w:t>
      </w:r>
      <w:proofErr w:type="spellStart"/>
      <w:r w:rsidRPr="008616DC">
        <w:rPr>
          <w:rFonts w:cs="Segoe UI"/>
          <w:sz w:val="20"/>
          <w:szCs w:val="20"/>
          <w:lang w:val="sv-SE"/>
        </w:rPr>
        <w:t>baku</w:t>
      </w:r>
      <w:proofErr w:type="spellEnd"/>
      <w:r w:rsidRPr="008616DC">
        <w:rPr>
          <w:rFonts w:cs="Segoe UI"/>
          <w:sz w:val="20"/>
          <w:szCs w:val="20"/>
          <w:lang w:val="sv-SE"/>
        </w:rPr>
        <w:t xml:space="preserve">. </w:t>
      </w:r>
      <w:proofErr w:type="spellStart"/>
      <w:r w:rsidRPr="008616DC">
        <w:rPr>
          <w:rFonts w:cs="Segoe UI"/>
          <w:sz w:val="20"/>
          <w:szCs w:val="20"/>
          <w:lang w:val="sv-SE"/>
        </w:rPr>
        <w:t>Tugas</w:t>
      </w:r>
      <w:proofErr w:type="spellEnd"/>
      <w:r w:rsidRPr="008616DC">
        <w:rPr>
          <w:rFonts w:cs="Segoe UI"/>
          <w:sz w:val="20"/>
          <w:szCs w:val="20"/>
          <w:lang w:val="sv-SE"/>
        </w:rPr>
        <w:t xml:space="preserve"> </w:t>
      </w:r>
      <w:proofErr w:type="spellStart"/>
      <w:r w:rsidRPr="008616DC">
        <w:rPr>
          <w:rFonts w:cs="Segoe UI"/>
          <w:sz w:val="20"/>
          <w:szCs w:val="20"/>
          <w:lang w:val="sv-SE"/>
        </w:rPr>
        <w:t>Akhir</w:t>
      </w:r>
      <w:proofErr w:type="spellEnd"/>
      <w:r w:rsidRPr="008616DC">
        <w:rPr>
          <w:rFonts w:cs="Segoe UI"/>
          <w:sz w:val="20"/>
          <w:szCs w:val="20"/>
          <w:lang w:val="sv-SE"/>
        </w:rPr>
        <w:t xml:space="preserve"> </w:t>
      </w:r>
      <w:proofErr w:type="spellStart"/>
      <w:r w:rsidRPr="008616DC">
        <w:rPr>
          <w:rFonts w:cs="Segoe UI"/>
          <w:sz w:val="20"/>
          <w:szCs w:val="20"/>
          <w:lang w:val="sv-SE"/>
        </w:rPr>
        <w:t>menggunakan</w:t>
      </w:r>
      <w:proofErr w:type="spellEnd"/>
      <w:r w:rsidRPr="008616DC">
        <w:rPr>
          <w:rFonts w:cs="Segoe UI"/>
          <w:sz w:val="20"/>
          <w:szCs w:val="20"/>
          <w:lang w:val="sv-SE"/>
        </w:rPr>
        <w:t xml:space="preserve"> </w:t>
      </w:r>
      <w:proofErr w:type="spellStart"/>
      <w:r w:rsidRPr="008616DC">
        <w:rPr>
          <w:rFonts w:cs="Segoe UI"/>
          <w:sz w:val="20"/>
          <w:szCs w:val="20"/>
          <w:lang w:val="sv-SE"/>
        </w:rPr>
        <w:t>Pasal</w:t>
      </w:r>
      <w:proofErr w:type="spellEnd"/>
      <w:r w:rsidRPr="008616DC">
        <w:rPr>
          <w:rFonts w:cs="Segoe UI"/>
          <w:sz w:val="20"/>
          <w:szCs w:val="20"/>
          <w:lang w:val="sv-SE"/>
        </w:rPr>
        <w:t xml:space="preserve"> 18 UU </w:t>
      </w:r>
      <w:proofErr w:type="spellStart"/>
      <w:r w:rsidRPr="008616DC">
        <w:rPr>
          <w:rFonts w:cs="Segoe UI"/>
          <w:sz w:val="20"/>
          <w:szCs w:val="20"/>
          <w:lang w:val="sv-SE"/>
        </w:rPr>
        <w:t>tersebut</w:t>
      </w:r>
      <w:proofErr w:type="spellEnd"/>
      <w:r w:rsidRPr="008616DC">
        <w:rPr>
          <w:rFonts w:cs="Segoe UI"/>
          <w:sz w:val="20"/>
          <w:szCs w:val="20"/>
          <w:lang w:val="sv-SE"/>
        </w:rPr>
        <w:t xml:space="preserve"> </w:t>
      </w:r>
      <w:proofErr w:type="spellStart"/>
      <w:r w:rsidRPr="008616DC">
        <w:rPr>
          <w:rFonts w:cs="Segoe UI"/>
          <w:sz w:val="20"/>
          <w:szCs w:val="20"/>
          <w:lang w:val="sv-SE"/>
        </w:rPr>
        <w:t>sebagai</w:t>
      </w:r>
      <w:proofErr w:type="spellEnd"/>
      <w:r w:rsidRPr="008616DC">
        <w:rPr>
          <w:rFonts w:cs="Segoe UI"/>
          <w:sz w:val="20"/>
          <w:szCs w:val="20"/>
          <w:lang w:val="sv-SE"/>
        </w:rPr>
        <w:t xml:space="preserve"> </w:t>
      </w:r>
      <w:proofErr w:type="spellStart"/>
      <w:r w:rsidRPr="008616DC">
        <w:rPr>
          <w:rFonts w:cs="Segoe UI"/>
          <w:sz w:val="20"/>
          <w:szCs w:val="20"/>
          <w:lang w:val="sv-SE"/>
        </w:rPr>
        <w:t>salah</w:t>
      </w:r>
      <w:proofErr w:type="spellEnd"/>
      <w:r w:rsidRPr="008616DC">
        <w:rPr>
          <w:rFonts w:cs="Segoe UI"/>
          <w:sz w:val="20"/>
          <w:szCs w:val="20"/>
          <w:lang w:val="sv-SE"/>
        </w:rPr>
        <w:t xml:space="preserve"> </w:t>
      </w:r>
      <w:proofErr w:type="spellStart"/>
      <w:r w:rsidRPr="008616DC">
        <w:rPr>
          <w:rFonts w:cs="Segoe UI"/>
          <w:sz w:val="20"/>
          <w:szCs w:val="20"/>
          <w:lang w:val="sv-SE"/>
        </w:rPr>
        <w:t>satu</w:t>
      </w:r>
      <w:proofErr w:type="spellEnd"/>
      <w:r w:rsidRPr="008616DC">
        <w:rPr>
          <w:rFonts w:cs="Segoe UI"/>
          <w:sz w:val="20"/>
          <w:szCs w:val="20"/>
          <w:lang w:val="sv-SE"/>
        </w:rPr>
        <w:t xml:space="preserve"> dasar </w:t>
      </w:r>
      <w:proofErr w:type="spellStart"/>
      <w:r w:rsidRPr="008616DC">
        <w:rPr>
          <w:rFonts w:cs="Segoe UI"/>
          <w:sz w:val="20"/>
          <w:szCs w:val="20"/>
          <w:lang w:val="sv-SE"/>
        </w:rPr>
        <w:t>pembatasan</w:t>
      </w:r>
      <w:proofErr w:type="spellEnd"/>
      <w:r w:rsidRPr="008616DC">
        <w:rPr>
          <w:rFonts w:cs="Segoe UI"/>
          <w:sz w:val="20"/>
          <w:szCs w:val="20"/>
          <w:lang w:val="sv-SE"/>
        </w:rPr>
        <w:t xml:space="preserve"> </w:t>
      </w:r>
      <w:proofErr w:type="spellStart"/>
      <w:r w:rsidRPr="008616DC">
        <w:rPr>
          <w:rFonts w:cs="Segoe UI"/>
          <w:sz w:val="20"/>
          <w:szCs w:val="20"/>
          <w:lang w:val="sv-SE"/>
        </w:rPr>
        <w:t>kebebasan</w:t>
      </w:r>
      <w:proofErr w:type="spellEnd"/>
      <w:r w:rsidRPr="008616DC">
        <w:rPr>
          <w:rFonts w:cs="Segoe UI"/>
          <w:sz w:val="20"/>
          <w:szCs w:val="20"/>
          <w:lang w:val="sv-SE"/>
        </w:rPr>
        <w:t xml:space="preserve"> </w:t>
      </w:r>
      <w:proofErr w:type="spellStart"/>
      <w:r w:rsidRPr="008616DC">
        <w:rPr>
          <w:rFonts w:cs="Segoe UI"/>
          <w:sz w:val="20"/>
          <w:szCs w:val="20"/>
          <w:lang w:val="sv-SE"/>
        </w:rPr>
        <w:t>berkontrak</w:t>
      </w:r>
      <w:proofErr w:type="spellEnd"/>
      <w:r w:rsidRPr="008616DC">
        <w:rPr>
          <w:rFonts w:cs="Segoe UI"/>
          <w:sz w:val="20"/>
          <w:szCs w:val="20"/>
          <w:lang w:val="sv-SE"/>
        </w:rPr>
        <w:t>.</w:t>
      </w:r>
    </w:p>
    <w:p w14:paraId="37E0595A" w14:textId="44CB4515"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rPr>
      </w:pPr>
      <w:r w:rsidRPr="008616DC">
        <w:rPr>
          <w:rFonts w:cs="Segoe UI"/>
          <w:sz w:val="20"/>
          <w:szCs w:val="20"/>
        </w:rPr>
        <w:t xml:space="preserve">Republik Indonesia. (1999). </w:t>
      </w:r>
      <w:r w:rsidRPr="008616DC">
        <w:rPr>
          <w:rFonts w:cs="Segoe UI"/>
          <w:i/>
          <w:iCs/>
          <w:sz w:val="20"/>
          <w:szCs w:val="20"/>
        </w:rPr>
        <w:t>Undang-Undang Nomor 36 Tahun 1999 tentang Telekomunikasi</w:t>
      </w:r>
      <w:r w:rsidRPr="008616DC">
        <w:rPr>
          <w:rFonts w:cs="Segoe UI"/>
          <w:sz w:val="20"/>
          <w:szCs w:val="20"/>
        </w:rPr>
        <w:t>.</w:t>
      </w:r>
    </w:p>
    <w:p w14:paraId="6DA58FBA" w14:textId="6FBE6763" w:rsidR="008616DC" w:rsidRDefault="008616DC" w:rsidP="00AD7B58">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8616DC">
        <w:rPr>
          <w:rFonts w:cs="Segoe UI"/>
          <w:sz w:val="20"/>
          <w:szCs w:val="20"/>
        </w:rPr>
        <w:t xml:space="preserve">PT Telekomunikasi Selular &amp; PT Samekh Chet Abadi. (2016). </w:t>
      </w:r>
      <w:r w:rsidRPr="008616DC">
        <w:rPr>
          <w:rFonts w:cs="Segoe UI"/>
          <w:i/>
          <w:iCs/>
          <w:sz w:val="20"/>
          <w:szCs w:val="20"/>
        </w:rPr>
        <w:t>Perjanjian kerja sama</w:t>
      </w:r>
      <w:r w:rsidRPr="008616DC">
        <w:rPr>
          <w:rFonts w:cs="Segoe UI"/>
          <w:sz w:val="20"/>
          <w:szCs w:val="20"/>
        </w:rPr>
        <w:t xml:space="preserve"> tanggal 25 Januari 2016. Perjanjian tersebut menjadi objek utama analisis penelitian dan terdiri atas 26 pasal.</w:t>
      </w:r>
    </w:p>
    <w:sectPr w:rsidR="008616DC"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EB5F6" w14:textId="77777777" w:rsidR="00B868D8" w:rsidRDefault="00B868D8" w:rsidP="009B0AF6">
      <w:pPr>
        <w:spacing w:after="0" w:line="240" w:lineRule="auto"/>
      </w:pPr>
      <w:r>
        <w:separator/>
      </w:r>
    </w:p>
  </w:endnote>
  <w:endnote w:type="continuationSeparator" w:id="0">
    <w:p w14:paraId="4B2E3ACC" w14:textId="77777777" w:rsidR="00B868D8" w:rsidRDefault="00B868D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1E85E66D"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645ED0" w:rsidRPr="00645ED0">
          <w:rPr>
            <w:rFonts w:cs="Segoe UI"/>
            <w:noProof/>
            <w:sz w:val="18"/>
            <w:szCs w:val="18"/>
            <w:lang w:val="fi-FI"/>
          </w:rPr>
          <w:t>Rudy Arianto Krikhoff</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02C7" w14:textId="77777777" w:rsidR="00B868D8" w:rsidRDefault="00B868D8" w:rsidP="009B0AF6">
      <w:pPr>
        <w:spacing w:after="0" w:line="240" w:lineRule="auto"/>
      </w:pPr>
      <w:r>
        <w:separator/>
      </w:r>
    </w:p>
  </w:footnote>
  <w:footnote w:type="continuationSeparator" w:id="0">
    <w:p w14:paraId="79CFBFED" w14:textId="77777777" w:rsidR="00B868D8" w:rsidRDefault="00B868D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B0079C"/>
    <w:rsid w:val="00B024E4"/>
    <w:rsid w:val="00B06DCF"/>
    <w:rsid w:val="00B34841"/>
    <w:rsid w:val="00B34CDD"/>
    <w:rsid w:val="00B5350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5426</Words>
  <Characters>30931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8</cp:revision>
  <cp:lastPrinted>2023-04-17T18:59:00Z</cp:lastPrinted>
  <dcterms:created xsi:type="dcterms:W3CDTF">2026-01-24T05:16:00Z</dcterms:created>
  <dcterms:modified xsi:type="dcterms:W3CDTF">2026-08-12T11:50:00Z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