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139129D1" w14:textId="77777777" w:rsidR="00865042" w:rsidRDefault="00865042" w:rsidP="00100027">
      <w:pPr>
        <w:tabs>
          <w:tab w:val="right" w:pos="9026"/>
        </w:tabs>
        <w:spacing w:after="0" w:line="240" w:lineRule="auto"/>
        <w:jc w:val="center"/>
        <w:rPr>
          <w:rFonts w:cs="Segoe UI"/>
          <w:b/>
          <w:bCs/>
          <w:sz w:val="30"/>
          <w:szCs w:val="30"/>
        </w:rPr>
      </w:pPr>
      <w:r w:rsidRPr="00865042">
        <w:rPr>
          <w:rFonts w:cs="Segoe UI"/>
          <w:b/>
          <w:bCs/>
          <w:sz w:val="30"/>
          <w:szCs w:val="30"/>
        </w:rPr>
        <w:t>Analisis Yuridis Turut Serta Melakukan Pembunuhan Berdasarkan Putusan PN Makassar</w:t>
      </w:r>
    </w:p>
    <w:p w14:paraId="74DB003B" w14:textId="72B48CF9" w:rsidR="00676A1B" w:rsidRPr="003A41CA" w:rsidRDefault="00865042" w:rsidP="00100027">
      <w:pPr>
        <w:tabs>
          <w:tab w:val="right" w:pos="9026"/>
        </w:tabs>
        <w:spacing w:after="0" w:line="240" w:lineRule="auto"/>
        <w:jc w:val="center"/>
        <w:rPr>
          <w:rFonts w:cs="Segoe UI"/>
          <w:b/>
          <w:sz w:val="30"/>
          <w:szCs w:val="30"/>
          <w:lang w:val="sv-SE"/>
        </w:rPr>
      </w:pPr>
      <w:r w:rsidRPr="00865042">
        <w:rPr>
          <w:rFonts w:cs="Segoe UI"/>
          <w:b/>
          <w:bCs/>
          <w:sz w:val="30"/>
          <w:szCs w:val="30"/>
        </w:rPr>
        <w:t>Nomor 713/Pid.B/2023/PN Mks</w:t>
      </w:r>
    </w:p>
    <w:p w14:paraId="10A4DC49" w14:textId="77777777" w:rsidR="00100027" w:rsidRPr="003A41CA" w:rsidRDefault="00100027" w:rsidP="007677D4">
      <w:pPr>
        <w:tabs>
          <w:tab w:val="right" w:pos="9026"/>
        </w:tabs>
        <w:spacing w:after="0" w:line="240" w:lineRule="auto"/>
        <w:jc w:val="left"/>
        <w:rPr>
          <w:rFonts w:cs="Segoe UI"/>
          <w:i/>
          <w:sz w:val="24"/>
          <w:szCs w:val="20"/>
          <w:lang w:val="sv-SE"/>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59778EF2" w:rsidR="00AC334E" w:rsidRPr="00886EB8" w:rsidRDefault="00865042" w:rsidP="00C00D09">
      <w:pPr>
        <w:tabs>
          <w:tab w:val="right" w:pos="9026"/>
        </w:tabs>
        <w:spacing w:after="0" w:line="240" w:lineRule="auto"/>
        <w:rPr>
          <w:rFonts w:cs="Segoe UI"/>
          <w:b/>
          <w:bCs/>
          <w:sz w:val="24"/>
          <w:szCs w:val="24"/>
          <w:lang w:val="fi-FI"/>
        </w:rPr>
      </w:pPr>
      <w:proofErr w:type="spellStart"/>
      <w:r>
        <w:rPr>
          <w:rFonts w:cs="Segoe UI"/>
          <w:b/>
          <w:bCs/>
          <w:sz w:val="24"/>
          <w:szCs w:val="24"/>
          <w:lang w:val="fi-FI"/>
        </w:rPr>
        <w:t>Yuliana</w:t>
      </w:r>
      <w:proofErr w:type="spellEnd"/>
      <w:r>
        <w:rPr>
          <w:rFonts w:cs="Segoe UI"/>
          <w:b/>
          <w:bCs/>
          <w:sz w:val="24"/>
          <w:szCs w:val="24"/>
          <w:lang w:val="fi-FI"/>
        </w:rPr>
        <w:t xml:space="preserve"> Ampulembang</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203A641A" w:rsidR="00BE12F5" w:rsidRPr="007677D4" w:rsidRDefault="00865042" w:rsidP="00241D17">
      <w:pPr>
        <w:tabs>
          <w:tab w:val="right" w:pos="9026"/>
        </w:tabs>
        <w:spacing w:after="0" w:line="240" w:lineRule="auto"/>
        <w:rPr>
          <w:rFonts w:cs="Segoe UI"/>
          <w:i/>
          <w:sz w:val="18"/>
          <w:szCs w:val="18"/>
          <w:lang w:val="en-US"/>
        </w:rPr>
      </w:pPr>
      <w:r>
        <w:rPr>
          <w:rFonts w:cs="Segoe UI"/>
          <w:i/>
          <w:sz w:val="18"/>
          <w:szCs w:val="18"/>
          <w:lang w:val="en-US"/>
        </w:rPr>
        <w:t>yulianaampulembang</w:t>
      </w:r>
      <w:r w:rsidR="006F20C0">
        <w:rPr>
          <w:rFonts w:cs="Segoe UI"/>
          <w:i/>
          <w:sz w:val="18"/>
          <w:szCs w:val="18"/>
          <w:lang w:val="en-US"/>
        </w:rPr>
        <w:t>@ukipaulus.ac.id (</w:t>
      </w:r>
      <w:proofErr w:type="spellStart"/>
      <w:r w:rsidR="006F20C0">
        <w:rPr>
          <w:rFonts w:cs="Segoe UI"/>
          <w:i/>
          <w:sz w:val="18"/>
          <w:szCs w:val="18"/>
          <w:lang w:val="en-US"/>
        </w:rPr>
        <w:t>Korespondensi</w:t>
      </w:r>
      <w:proofErr w:type="spellEnd"/>
      <w:r w:rsidR="006F20C0">
        <w:rPr>
          <w:rFonts w:cs="Segoe UI"/>
          <w:i/>
          <w:sz w:val="18"/>
          <w:szCs w:val="18"/>
          <w:lang w:val="en-US"/>
        </w:rPr>
        <w:t>)*</w:t>
      </w:r>
    </w:p>
    <w:p w14:paraId="57825679"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719CC61E" w:rsidR="00417363" w:rsidRDefault="00AD7B58" w:rsidP="00886EB8">
            <w:pPr>
              <w:spacing w:after="0" w:line="240" w:lineRule="auto"/>
              <w:jc w:val="left"/>
              <w:rPr>
                <w:rFonts w:eastAsia="Times New Roman" w:cs="Segoe UI"/>
                <w:i/>
                <w:iCs/>
                <w:color w:val="181717"/>
                <w:sz w:val="20"/>
                <w:szCs w:val="20"/>
                <w:lang w:val="en-US"/>
              </w:rPr>
            </w:pPr>
            <w:r w:rsidRPr="00AD7B58">
              <w:rPr>
                <w:rFonts w:eastAsia="Times New Roman" w:cs="Segoe UI"/>
                <w:i/>
                <w:iCs/>
                <w:color w:val="181717"/>
                <w:sz w:val="20"/>
                <w:szCs w:val="20"/>
              </w:rPr>
              <w:t>deelneming, participation, murder, judicial considerations, sentencing</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09AD676F" w:rsidR="00241D17" w:rsidRPr="00C676AF" w:rsidRDefault="00AD7B58" w:rsidP="00886EB8">
            <w:pPr>
              <w:spacing w:after="0" w:line="240" w:lineRule="auto"/>
              <w:jc w:val="left"/>
              <w:rPr>
                <w:rFonts w:eastAsia="Times New Roman" w:cs="Segoe UI"/>
                <w:i/>
                <w:color w:val="181717"/>
                <w:sz w:val="20"/>
                <w:szCs w:val="20"/>
              </w:rPr>
            </w:pPr>
            <w:r w:rsidRPr="00AD7B58">
              <w:rPr>
                <w:rFonts w:eastAsia="Times New Roman" w:cs="Segoe UI"/>
                <w:i/>
                <w:iCs/>
                <w:color w:val="181717"/>
                <w:sz w:val="20"/>
                <w:szCs w:val="20"/>
              </w:rPr>
              <w:t>deelneming</w:t>
            </w:r>
            <w:r w:rsidRPr="00AD7B58">
              <w:rPr>
                <w:rFonts w:eastAsia="Times New Roman" w:cs="Segoe UI"/>
                <w:iCs/>
                <w:color w:val="181717"/>
                <w:sz w:val="20"/>
                <w:szCs w:val="20"/>
              </w:rPr>
              <w:t>, turut serta, pembunuhan, pertimbangan hakim, pemidanaan</w:t>
            </w:r>
          </w:p>
        </w:tc>
        <w:tc>
          <w:tcPr>
            <w:tcW w:w="3829" w:type="pct"/>
            <w:tcBorders>
              <w:top w:val="single" w:sz="4" w:space="0" w:color="auto"/>
              <w:bottom w:val="single" w:sz="4" w:space="0" w:color="auto"/>
            </w:tcBorders>
          </w:tcPr>
          <w:p w14:paraId="03CCEDFA" w14:textId="2CAF93F6"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AD7B58" w:rsidRPr="00AD7B58">
              <w:rPr>
                <w:rFonts w:cs="Segoe UI"/>
                <w:i/>
                <w:iCs/>
                <w:color w:val="000000"/>
                <w:sz w:val="20"/>
                <w:szCs w:val="20"/>
                <w:shd w:val="clear" w:color="auto" w:fill="FFFFFF"/>
              </w:rPr>
              <w:t>This study aims to analyze the public prosecutor’s indictment and the judge’s legal considerations in the crime of participating in murder based on Makassar District Court Decision Number 713/Pid.B/2023/PN Mks. This study employs normative legal research using a Legal Case Study approach. Data were obtained through interviews and literature research and were analyzed descriptively and qualitatively. The findings indicate that the Public Prosecutor properly formulated an alternative indictment consisting of Article 338 in conjunction with Article 55 paragraph (1) point 1 of the Indonesian Criminal Code, Article 170 paragraph (2) point 3, and Article 351 paragraph (3) in conjunction with Article 55 paragraph (1) point 1. The Panel of Judges selected the first alternative indictment based on the evidence, material evidence, and legal facts established during the trial. The defendant was found legally and convincingly guilty of participating in murder based on the fulfillment of the elements of the offender, intentionally taking another person’s life, and committing, ordering, or jointly committing the offense. The defendant was subsequently sentenced to 7 years of imprisonment. Although the judge’s legal considerations in establishing the defendant’s criminal liability were considered consistent with the facts established at trial, the sentence was regarded as relatively light in view of the aggravating circumstances and the maximum penalty provided under Article 338 of the Indonesian Criminal Code, and therefore was considered not fully optimal in creating a deterrent effect.</w:t>
            </w:r>
          </w:p>
          <w:p w14:paraId="67D23D4D" w14:textId="77777777" w:rsidR="001E0508" w:rsidRPr="00C676AF" w:rsidRDefault="001E0508" w:rsidP="001E0508">
            <w:pPr>
              <w:spacing w:after="0" w:line="240" w:lineRule="auto"/>
              <w:rPr>
                <w:rFonts w:eastAsia="Times New Roman" w:cs="Segoe UI"/>
                <w:sz w:val="20"/>
                <w:szCs w:val="20"/>
              </w:rPr>
            </w:pPr>
          </w:p>
          <w:p w14:paraId="078696A2" w14:textId="77777777" w:rsidR="00886EB8" w:rsidRDefault="00886EB8" w:rsidP="001E0508">
            <w:pPr>
              <w:spacing w:after="0" w:line="240" w:lineRule="auto"/>
              <w:rPr>
                <w:rFonts w:eastAsia="Times New Roman" w:cs="Segoe UI"/>
                <w:b/>
                <w:iCs/>
                <w:sz w:val="20"/>
                <w:szCs w:val="20"/>
              </w:rPr>
            </w:pPr>
          </w:p>
          <w:p w14:paraId="514D684B" w14:textId="6B29AC4A"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AD7B58" w:rsidRPr="00AD7B58">
              <w:rPr>
                <w:rFonts w:cs="Segoe UI"/>
                <w:color w:val="000000"/>
                <w:sz w:val="20"/>
                <w:szCs w:val="20"/>
                <w:shd w:val="clear" w:color="auto" w:fill="FFFFFF"/>
              </w:rPr>
              <w:t>Penelitian ini bertujuan untuk menganalisis dakwaan Jaksa Penuntut Umum dan pertimbangan hukum hakim dalam tindak pidana turut serta melakukan pembunuhan berdasarkan Putusan Pengadilan Negeri Makassar Nomor 713/Pid.B/2023/PN Mks. Penelitian ini menggunakan metode penelitian hukum normatif dengan pendekatan studi kasus hukum (</w:t>
            </w:r>
            <w:r w:rsidR="00AD7B58" w:rsidRPr="00AD7B58">
              <w:rPr>
                <w:rFonts w:cs="Segoe UI"/>
                <w:i/>
                <w:iCs/>
                <w:color w:val="000000"/>
                <w:sz w:val="20"/>
                <w:szCs w:val="20"/>
                <w:shd w:val="clear" w:color="auto" w:fill="FFFFFF"/>
              </w:rPr>
              <w:t>Legal Case Study</w:t>
            </w:r>
            <w:r w:rsidR="00AD7B58" w:rsidRPr="00AD7B58">
              <w:rPr>
                <w:rFonts w:cs="Segoe UI"/>
                <w:color w:val="000000"/>
                <w:sz w:val="20"/>
                <w:szCs w:val="20"/>
                <w:shd w:val="clear" w:color="auto" w:fill="FFFFFF"/>
              </w:rPr>
              <w:t xml:space="preserve">). Data diperoleh melalui wawancara dan studi kepustakaan, kemudian dianalisis secara deskriptif-kualitatif. Hasil penelitian menunjukkan </w:t>
            </w:r>
            <w:r w:rsidR="00AD7B58" w:rsidRPr="00AD7B58">
              <w:rPr>
                <w:rFonts w:cs="Segoe UI"/>
                <w:color w:val="000000"/>
                <w:sz w:val="20"/>
                <w:szCs w:val="20"/>
                <w:shd w:val="clear" w:color="auto" w:fill="FFFFFF"/>
              </w:rPr>
              <w:lastRenderedPageBreak/>
              <w:t>bahwa Jaksa Penuntut Umum telah menyusun dakwaan dalam bentuk alternatif, yaitu Pasal 338 KUHP jo. Pasal 55 ayat (1) ke-1 KUHP, Pasal 170 ayat (2) ke-3 KUHP, dan Pasal 351 ayat (3) KUHP jo. Pasal 55 ayat (1) ke-1 KUHP. Majelis Hakim memilih dakwaan alternatif kesatu berdasarkan alat bukti, barang bukti, dan fakta hukum yang terungkap di persidangan. Hakim menyatakan terdakwa terbukti secara sah dan meyakinkan melakukan tindak pidana turut serta melakukan pembunuhan berdasarkan terpenuhinya unsur “barang siapa”, unsur dengan sengaja merampas nyawa orang lain, dan unsur melakukan, menyuruh melakukan atau turut serta melakukan. Terdakwa kemudian dijatuhi pidana penjara selama 7 (tujuh) tahun. Meskipun pertimbangan hukum hakim dalam menentukan pertanggungjawaban pidana dinilai telah sesuai dengan fakta persidangan, pidana tersebut dinilai relatif ringan dengan mempertimbangkan keadaan yang memberatkan dan ancaman pidana Pasal 338 KUHP, sehingga belum optimal dalam memberikan efek jera.</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2D452469" w14:textId="77777777" w:rsidR="00865042" w:rsidRPr="00865042" w:rsidRDefault="00865042" w:rsidP="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Hukum </w:t>
      </w:r>
      <w:proofErr w:type="spellStart"/>
      <w:r w:rsidRPr="00865042">
        <w:rPr>
          <w:rFonts w:ascii="Segoe UI" w:hAnsi="Segoe UI" w:cs="Segoe UI"/>
          <w:sz w:val="22"/>
          <w:szCs w:val="22"/>
          <w:lang w:val="id-ID"/>
        </w:rPr>
        <w:t>pidana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merupakan</w:t>
      </w:r>
      <w:proofErr w:type="spellEnd"/>
      <w:r w:rsidRPr="00865042">
        <w:rPr>
          <w:rFonts w:ascii="Segoe UI" w:hAnsi="Segoe UI" w:cs="Segoe UI"/>
          <w:sz w:val="22"/>
          <w:szCs w:val="22"/>
          <w:lang w:val="id-ID"/>
        </w:rPr>
        <w:t xml:space="preserve"> salah </w:t>
      </w:r>
      <w:proofErr w:type="spellStart"/>
      <w:r w:rsidRPr="00865042">
        <w:rPr>
          <w:rFonts w:ascii="Segoe UI" w:hAnsi="Segoe UI" w:cs="Segoe UI"/>
          <w:sz w:val="22"/>
          <w:szCs w:val="22"/>
          <w:lang w:val="id-ID"/>
        </w:rPr>
        <w:t>satu</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instrumen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hukum</w:t>
      </w:r>
      <w:proofErr w:type="spellEnd"/>
      <w:r w:rsidRPr="00865042">
        <w:rPr>
          <w:rFonts w:ascii="Segoe UI" w:hAnsi="Segoe UI" w:cs="Segoe UI"/>
          <w:sz w:val="22"/>
          <w:szCs w:val="22"/>
          <w:lang w:val="id-ID"/>
        </w:rPr>
        <w:t xml:space="preserve"> yang </w:t>
      </w:r>
      <w:proofErr w:type="spellStart"/>
      <w:r w:rsidRPr="00865042">
        <w:rPr>
          <w:rFonts w:ascii="Segoe UI" w:hAnsi="Segoe UI" w:cs="Segoe UI"/>
          <w:sz w:val="22"/>
          <w:szCs w:val="22"/>
          <w:lang w:val="id-ID"/>
        </w:rPr>
        <w:t>digunakan</w:t>
      </w:r>
      <w:proofErr w:type="spellEnd"/>
      <w:r w:rsidRPr="00865042">
        <w:rPr>
          <w:rFonts w:ascii="Segoe UI" w:hAnsi="Segoe UI" w:cs="Segoe UI"/>
          <w:sz w:val="22"/>
          <w:szCs w:val="22"/>
          <w:lang w:val="id-ID"/>
        </w:rPr>
        <w:t xml:space="preserve"> negara </w:t>
      </w:r>
      <w:proofErr w:type="spellStart"/>
      <w:r w:rsidRPr="00865042">
        <w:rPr>
          <w:rFonts w:ascii="Segoe UI" w:hAnsi="Segoe UI" w:cs="Segoe UI"/>
          <w:sz w:val="22"/>
          <w:szCs w:val="22"/>
          <w:lang w:val="id-ID"/>
        </w:rPr>
        <w:t>untuk</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menjaga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ketertiban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melindungi</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kepentingan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masyarakat</w:t>
      </w:r>
      <w:proofErr w:type="spellEnd"/>
      <w:r w:rsidRPr="00865042">
        <w:rPr>
          <w:rFonts w:ascii="Segoe UI" w:hAnsi="Segoe UI" w:cs="Segoe UI"/>
          <w:sz w:val="22"/>
          <w:szCs w:val="22"/>
          <w:lang w:val="id-ID"/>
        </w:rPr>
        <w:t xml:space="preserve">, dan </w:t>
      </w:r>
      <w:proofErr w:type="spellStart"/>
      <w:r w:rsidRPr="00865042">
        <w:rPr>
          <w:rFonts w:ascii="Segoe UI" w:hAnsi="Segoe UI" w:cs="Segoe UI"/>
          <w:sz w:val="22"/>
          <w:szCs w:val="22"/>
          <w:lang w:val="id-ID"/>
        </w:rPr>
        <w:t>memberikan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pertanggungjawaban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terhadap</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perbuatan</w:t>
      </w:r>
      <w:proofErr w:type="spellEnd"/>
      <w:r w:rsidRPr="00865042">
        <w:rPr>
          <w:rFonts w:ascii="Segoe UI" w:hAnsi="Segoe UI" w:cs="Segoe UI"/>
          <w:sz w:val="22"/>
          <w:szCs w:val="22"/>
          <w:lang w:val="id-ID"/>
        </w:rPr>
        <w:t xml:space="preserve"> yang </w:t>
      </w:r>
      <w:proofErr w:type="spellStart"/>
      <w:r w:rsidRPr="00865042">
        <w:rPr>
          <w:rFonts w:ascii="Segoe UI" w:hAnsi="Segoe UI" w:cs="Segoe UI"/>
          <w:sz w:val="22"/>
          <w:szCs w:val="22"/>
          <w:lang w:val="id-ID"/>
        </w:rPr>
        <w:t>merugikan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atau</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membahayakan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kepentingan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hukum</w:t>
      </w:r>
      <w:proofErr w:type="spellEnd"/>
      <w:r w:rsidRPr="00865042">
        <w:rPr>
          <w:rFonts w:ascii="Segoe UI" w:hAnsi="Segoe UI" w:cs="Segoe UI"/>
          <w:sz w:val="22"/>
          <w:szCs w:val="22"/>
          <w:lang w:val="id-ID"/>
        </w:rPr>
        <w:t xml:space="preserve">. Salah </w:t>
      </w:r>
      <w:proofErr w:type="spellStart"/>
      <w:r w:rsidRPr="00865042">
        <w:rPr>
          <w:rFonts w:ascii="Segoe UI" w:hAnsi="Segoe UI" w:cs="Segoe UI"/>
          <w:sz w:val="22"/>
          <w:szCs w:val="22"/>
          <w:lang w:val="id-ID"/>
        </w:rPr>
        <w:t>satu</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bentuk</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kejahatan</w:t>
      </w:r>
      <w:proofErr w:type="spellEnd"/>
      <w:r w:rsidRPr="00865042">
        <w:rPr>
          <w:rFonts w:ascii="Segoe UI" w:hAnsi="Segoe UI" w:cs="Segoe UI"/>
          <w:sz w:val="22"/>
          <w:szCs w:val="22"/>
          <w:lang w:val="id-ID"/>
        </w:rPr>
        <w:t xml:space="preserve"> yang paling </w:t>
      </w:r>
      <w:proofErr w:type="spellStart"/>
      <w:r w:rsidRPr="00865042">
        <w:rPr>
          <w:rFonts w:ascii="Segoe UI" w:hAnsi="Segoe UI" w:cs="Segoe UI"/>
          <w:sz w:val="22"/>
          <w:szCs w:val="22"/>
          <w:lang w:val="id-ID"/>
        </w:rPr>
        <w:t>serius</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adalah</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tindak</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pidana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terhadap</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nyawa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khususnya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pembunuhan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Tindak</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pidana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pembunuhan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tidak</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hanya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menghilangkan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nyawa</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seseorang</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tetapi</w:t>
      </w:r>
      <w:proofErr w:type="spellEnd"/>
      <w:r w:rsidRPr="00865042">
        <w:rPr>
          <w:rFonts w:ascii="Segoe UI" w:hAnsi="Segoe UI" w:cs="Segoe UI"/>
          <w:sz w:val="22"/>
          <w:szCs w:val="22"/>
          <w:lang w:val="id-ID"/>
        </w:rPr>
        <w:t xml:space="preserve"> juga </w:t>
      </w:r>
      <w:proofErr w:type="spellStart"/>
      <w:r w:rsidRPr="00865042">
        <w:rPr>
          <w:rFonts w:ascii="Segoe UI" w:hAnsi="Segoe UI" w:cs="Segoe UI"/>
          <w:sz w:val="22"/>
          <w:szCs w:val="22"/>
          <w:lang w:val="id-ID"/>
        </w:rPr>
        <w:t>menimbulkan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dampak</w:t>
      </w:r>
      <w:proofErr w:type="spellEnd"/>
      <w:r w:rsidRPr="00865042">
        <w:rPr>
          <w:rFonts w:ascii="Segoe UI" w:hAnsi="Segoe UI" w:cs="Segoe UI"/>
          <w:sz w:val="22"/>
          <w:szCs w:val="22"/>
          <w:lang w:val="id-ID"/>
        </w:rPr>
        <w:t xml:space="preserve"> yang </w:t>
      </w:r>
      <w:proofErr w:type="spellStart"/>
      <w:r w:rsidRPr="00865042">
        <w:rPr>
          <w:rFonts w:ascii="Segoe UI" w:hAnsi="Segoe UI" w:cs="Segoe UI"/>
          <w:sz w:val="22"/>
          <w:szCs w:val="22"/>
          <w:lang w:val="id-ID"/>
        </w:rPr>
        <w:t>luas</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terhadap</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keluarga</w:t>
      </w:r>
      <w:proofErr w:type="spellEnd"/>
      <w:r w:rsidRPr="00865042">
        <w:rPr>
          <w:rFonts w:ascii="Segoe UI" w:hAnsi="Segoe UI" w:cs="Segoe UI"/>
          <w:sz w:val="22"/>
          <w:szCs w:val="22"/>
          <w:lang w:val="id-ID"/>
        </w:rPr>
        <w:t xml:space="preserve"> korban dan </w:t>
      </w:r>
      <w:proofErr w:type="spellStart"/>
      <w:r w:rsidRPr="00865042">
        <w:rPr>
          <w:rFonts w:ascii="Segoe UI" w:hAnsi="Segoe UI" w:cs="Segoe UI"/>
          <w:sz w:val="22"/>
          <w:szCs w:val="22"/>
          <w:lang w:val="id-ID"/>
        </w:rPr>
        <w:t>ketertiban</w:t>
      </w:r>
      <w:proofErr w:type="spellEnd"/>
      <w:r w:rsidRPr="00865042">
        <w:rPr>
          <w:rFonts w:ascii="Segoe UI" w:hAnsi="Segoe UI" w:cs="Segoe UI"/>
          <w:sz w:val="22"/>
          <w:szCs w:val="22"/>
          <w:lang w:val="id-ID"/>
        </w:rPr>
        <w:t xml:space="preserve"> </w:t>
      </w:r>
      <w:proofErr w:type="spellStart"/>
      <w:r w:rsidRPr="00865042">
        <w:rPr>
          <w:rFonts w:ascii="Segoe UI" w:hAnsi="Segoe UI" w:cs="Segoe UI"/>
          <w:sz w:val="22"/>
          <w:szCs w:val="22"/>
          <w:lang w:val="id-ID"/>
        </w:rPr>
        <w:t>sosial</w:t>
      </w:r>
      <w:proofErr w:type="spellEnd"/>
      <w:r w:rsidRPr="00865042">
        <w:rPr>
          <w:rFonts w:ascii="Segoe UI" w:hAnsi="Segoe UI" w:cs="Segoe UI"/>
          <w:sz w:val="22"/>
          <w:szCs w:val="22"/>
          <w:lang w:val="id-ID"/>
        </w:rPr>
        <w:t>. Oleh karena itu, penanganan tindak pidana pembunuhan memerlukan penegakan hukum yang mampu memastikan pertanggungjawaban pidana setiap orang yang terlibat berdasarkan tingkat keterlibatan dan perannya dalam tindak pidana.</w:t>
      </w:r>
    </w:p>
    <w:p w14:paraId="509290CF" w14:textId="77777777" w:rsidR="00865042" w:rsidRPr="00865042" w:rsidRDefault="00865042" w:rsidP="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Dalam praktiknya, suatu tindak pidana tidak selalu dilakukan oleh seorang pelaku secara mandiri. Kejahatan dapat dilakukan secara bersama-sama oleh dua orang atau lebih dengan pembagian peran tertentu, baik dalam bentuk tindakan fisik maupun dukungan yang bersifat psikis. Dalam hukum pidana, keadaan tersebut dikenal melalui ajaran penyertaan (</w:t>
      </w:r>
      <w:r w:rsidRPr="00865042">
        <w:rPr>
          <w:rFonts w:ascii="Segoe UI" w:hAnsi="Segoe UI" w:cs="Segoe UI"/>
          <w:i/>
          <w:iCs/>
          <w:sz w:val="22"/>
          <w:szCs w:val="22"/>
          <w:lang w:val="id-ID"/>
        </w:rPr>
        <w:t>deelneming</w:t>
      </w:r>
      <w:r w:rsidRPr="00865042">
        <w:rPr>
          <w:rFonts w:ascii="Segoe UI" w:hAnsi="Segoe UI" w:cs="Segoe UI"/>
          <w:sz w:val="22"/>
          <w:szCs w:val="22"/>
          <w:lang w:val="id-ID"/>
        </w:rPr>
        <w:t>), yang mengatur mengenai keterlibatan beberapa orang dalam terjadinya suatu tindak pidana. Tugas Akhir Yuliana Ampulembang menjelaskan beberapa bentuk penyertaan, antara lain orang yang melakukan (</w:t>
      </w:r>
      <w:r w:rsidRPr="00865042">
        <w:rPr>
          <w:rFonts w:ascii="Segoe UI" w:hAnsi="Segoe UI" w:cs="Segoe UI"/>
          <w:i/>
          <w:iCs/>
          <w:sz w:val="22"/>
          <w:szCs w:val="22"/>
          <w:lang w:val="id-ID"/>
        </w:rPr>
        <w:t>pleger</w:t>
      </w:r>
      <w:r w:rsidRPr="00865042">
        <w:rPr>
          <w:rFonts w:ascii="Segoe UI" w:hAnsi="Segoe UI" w:cs="Segoe UI"/>
          <w:sz w:val="22"/>
          <w:szCs w:val="22"/>
          <w:lang w:val="id-ID"/>
        </w:rPr>
        <w:t>), orang yang menyuruh melakukan (</w:t>
      </w:r>
      <w:r w:rsidRPr="00865042">
        <w:rPr>
          <w:rFonts w:ascii="Segoe UI" w:hAnsi="Segoe UI" w:cs="Segoe UI"/>
          <w:i/>
          <w:iCs/>
          <w:sz w:val="22"/>
          <w:szCs w:val="22"/>
          <w:lang w:val="id-ID"/>
        </w:rPr>
        <w:t>doen pleger</w:t>
      </w:r>
      <w:r w:rsidRPr="00865042">
        <w:rPr>
          <w:rFonts w:ascii="Segoe UI" w:hAnsi="Segoe UI" w:cs="Segoe UI"/>
          <w:sz w:val="22"/>
          <w:szCs w:val="22"/>
          <w:lang w:val="id-ID"/>
        </w:rPr>
        <w:t>), orang yang turut serta melakukan (</w:t>
      </w:r>
      <w:r w:rsidRPr="00865042">
        <w:rPr>
          <w:rFonts w:ascii="Segoe UI" w:hAnsi="Segoe UI" w:cs="Segoe UI"/>
          <w:i/>
          <w:iCs/>
          <w:sz w:val="22"/>
          <w:szCs w:val="22"/>
          <w:lang w:val="id-ID"/>
        </w:rPr>
        <w:t>medepleger</w:t>
      </w:r>
      <w:r w:rsidRPr="00865042">
        <w:rPr>
          <w:rFonts w:ascii="Segoe UI" w:hAnsi="Segoe UI" w:cs="Segoe UI"/>
          <w:sz w:val="22"/>
          <w:szCs w:val="22"/>
          <w:lang w:val="id-ID"/>
        </w:rPr>
        <w:t>), orang yang menganjurkan (</w:t>
      </w:r>
      <w:r w:rsidRPr="00865042">
        <w:rPr>
          <w:rFonts w:ascii="Segoe UI" w:hAnsi="Segoe UI" w:cs="Segoe UI"/>
          <w:i/>
          <w:iCs/>
          <w:sz w:val="22"/>
          <w:szCs w:val="22"/>
          <w:lang w:val="id-ID"/>
        </w:rPr>
        <w:t>uitlokker</w:t>
      </w:r>
      <w:r w:rsidRPr="00865042">
        <w:rPr>
          <w:rFonts w:ascii="Segoe UI" w:hAnsi="Segoe UI" w:cs="Segoe UI"/>
          <w:sz w:val="22"/>
          <w:szCs w:val="22"/>
          <w:lang w:val="id-ID"/>
        </w:rPr>
        <w:t>), dan pihak yang memberikan bantuan (</w:t>
      </w:r>
      <w:r w:rsidRPr="00865042">
        <w:rPr>
          <w:rFonts w:ascii="Segoe UI" w:hAnsi="Segoe UI" w:cs="Segoe UI"/>
          <w:i/>
          <w:iCs/>
          <w:sz w:val="22"/>
          <w:szCs w:val="22"/>
          <w:lang w:val="id-ID"/>
        </w:rPr>
        <w:t>medeplichtige</w:t>
      </w:r>
      <w:r w:rsidRPr="00865042">
        <w:rPr>
          <w:rFonts w:ascii="Segoe UI" w:hAnsi="Segoe UI" w:cs="Segoe UI"/>
          <w:sz w:val="22"/>
          <w:szCs w:val="22"/>
          <w:lang w:val="id-ID"/>
        </w:rPr>
        <w:t>).</w:t>
      </w:r>
    </w:p>
    <w:p w14:paraId="24A04E0B" w14:textId="77777777" w:rsidR="00865042" w:rsidRPr="00865042" w:rsidRDefault="00865042" w:rsidP="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Ajaran deelneming mempunyai arti penting dalam menentukan pertanggungjawaban pidana karena keterlibatan seseorang dalam suatu tindak pidana tidak selalu berada pada tingkat yang sama. Dalam perkara yang dilakukan secara bersama-sama, hukum harus mampu membedakan peran masing-masing pihak dan menentukan dasar pertanggungjawaban pidananya. Salah satu bentuk penyertaan yang relevan dalam perkara pembunuhan adalah turut serta melakukan (medeplegen), yaitu keterlibatan bersama dalam pelaksanaan tindak pidana. Ketepatan dalam menerapkan ketentuan penyertaan menjadi penting agar pertanggungjawaban pidana tidak hanya didasarkan pada keberadaan seseorang di tempat kejadian, tetapi pada keterlibatan yang dapat dibuktikan berdasarkan fakta persidangan.</w:t>
      </w:r>
    </w:p>
    <w:p w14:paraId="34DEC32E" w14:textId="77777777" w:rsidR="00865042" w:rsidRPr="00865042" w:rsidRDefault="00865042" w:rsidP="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lastRenderedPageBreak/>
        <w:t>Persoalan mengenai penyertaan tersebut terlihat dalam Putusan Pengadilan Negeri Makassar Nomor 713/Pid.B/2023/PN Mks. Perkara tersebut melibatkan terdakwa Ripal alias Irpan Bin Muhtar dalam peristiwa yang mengakibatkan meninggalnya korban Nurtamar. Berdasarkan kronologi yang diuraikan dalam Tugas Akhir, terdakwa datang bersama beberapa orang lainnya ke tempat tinggal saksi Samsuria Lita setelah sebelumnya menerima telepon dari korban. Dalam rangkaian kejadian tersebut terjadi pertikaian, korban kemudian dikejar ke kamar mandi dan ditusuk menggunakan sebilah badik oleh salah satu pihak, sedangkan setelah korban keluar dari kamar mandi, terdakwa turut melakukan pemukulan bersama pihak lainnya sebelum meninggalkan lokasi.</w:t>
      </w:r>
    </w:p>
    <w:p w14:paraId="67293F4C" w14:textId="6A3F653C"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Atas perkara tersebut, Jaksa Penuntut Umum menyusun dakwaan dalam bentuk alternatif, yang terdiri atas dakwaan pertama berdasarkan Pasal 338 KUHP jo. Pasal 55 ayat (1) ke-1 KUHP, dakwaan kedua berdasarkan Pasal 170 ayat (2) ke-3 KUHP, dan dakwaan ketiga berdasarkan Pasal 351 ayat (3) KUHP jo. Pasal 55 ayat (1) ke-1 KUHP. Bentuk dakwaan alternatif tersebut menunjukkan adanya beberapa kemungkinan kualifikasi hukum yang dapat diterapkan terhadap perbuatan terdakwa berdasarkan pembuktian di persidangan.</w:t>
      </w:r>
    </w:p>
    <w:p w14:paraId="2C27904E" w14:textId="20079CA7"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Dalam perkara tersebut, Majelis Hakim memilih untuk mempertimbangkan dakwaan alternatif kesatu, yaitu Pasal 338 KUHP jo. Pasal 55 ayat (1) ke-1 KUHP. Hakim mempertimbangkan tiga unsur utama, yaitu unsur “barang siapa”, unsur “dengan sengaja merampas nyawa orang lain”, dan unsur “yang melakukan, menyuruh melakukan atau turut serta melakukan”. Berdasarkan alat bukti, barang bukti, keterangan saksi, keterangan terdakwa, serta fakta hukum yang terungkap di persidangan, hakim menyatakan unsur-unsur tersebut telah terbukti dan terdakwa dinyatakan bersalah melakukan tindak pidana turut serta melakukan pembunuhan.</w:t>
      </w:r>
    </w:p>
    <w:p w14:paraId="27C5E863" w14:textId="5EA33093"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Penerapan Pasal 55 ayat (1) ke-1 KUHP dalam perkara ini menjadi bagian penting yang perlu dianalisis karena ketentuan tersebut mencakup beberapa bentuk keterlibatan dalam tindak pidana, termasuk melakukan sendiri, menyuruh melakukan, dan turut serta melakukan. Dalam pertimbangan hakim, kategori penyertaan tersebut digunakan untuk menilai posisi terdakwa dalam rangkaian perbuatan yang berakhir pada hilangnya nyawa korban. Dengan demikian, persoalan hukum tidak hanya terletak pada terbuktinya perbuatan pembunuhan, tetapi juga pada apakah keterlibatan terdakwa telah memenuhi karakteristik </w:t>
      </w:r>
      <w:r w:rsidRPr="00865042">
        <w:rPr>
          <w:rFonts w:ascii="Segoe UI" w:hAnsi="Segoe UI" w:cs="Segoe UI"/>
          <w:i/>
          <w:iCs/>
          <w:sz w:val="22"/>
          <w:szCs w:val="22"/>
          <w:lang w:val="id-ID"/>
        </w:rPr>
        <w:t>medeplegen</w:t>
      </w:r>
      <w:r w:rsidRPr="00865042">
        <w:rPr>
          <w:rFonts w:ascii="Segoe UI" w:hAnsi="Segoe UI" w:cs="Segoe UI"/>
          <w:sz w:val="22"/>
          <w:szCs w:val="22"/>
          <w:lang w:val="id-ID"/>
        </w:rPr>
        <w:t xml:space="preserve"> sebagaimana diterapkan oleh hakim.</w:t>
      </w:r>
    </w:p>
    <w:p w14:paraId="08AF9BD2" w14:textId="49B23AC0"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Pertimbangan hukum (</w:t>
      </w:r>
      <w:r w:rsidRPr="00865042">
        <w:rPr>
          <w:rFonts w:ascii="Segoe UI" w:hAnsi="Segoe UI" w:cs="Segoe UI"/>
          <w:i/>
          <w:iCs/>
          <w:sz w:val="22"/>
          <w:szCs w:val="22"/>
          <w:lang w:val="id-ID"/>
        </w:rPr>
        <w:t>ratio decidendi</w:t>
      </w:r>
      <w:r w:rsidRPr="00865042">
        <w:rPr>
          <w:rFonts w:ascii="Segoe UI" w:hAnsi="Segoe UI" w:cs="Segoe UI"/>
          <w:sz w:val="22"/>
          <w:szCs w:val="22"/>
          <w:lang w:val="id-ID"/>
        </w:rPr>
        <w:t>) hakim mempunyai kedudukan sentral dalam menentukan benar atau tidaknya penerapan hukum terhadap fakta konkret. Pertimbangan tersebut harus dibangun berdasarkan alat bukti, fakta yang terungkap dalam persidangan, dan ketentuan hukum yang relevan serta disusun secara sistematis dan logis. Dalam Tugas Akhir, pertimbangan hukum dipandang sebagai bagian penting dari putusan karena berkaitan dengan keadilan, kepastian hukum, dan kemanfaatan.</w:t>
      </w:r>
    </w:p>
    <w:p w14:paraId="37159C8D" w14:textId="2045D6E2"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Dalam konteks perkara a quo, hakim tidak mempertimbangkan dakwaan alternatif kedua dan ketiga setelah menyatakan dakwaan alternatif kesatu terbukti. Tugas Akhir menilai pilihan tersebut telah sesuai karena didasarkan pada fakta hukum, alat bukti, dan barang bukti yang terungkap dalam persidangan. Hakim kemudian menyimpulkan bahwa terdakwa terbukti secara sah dan meyakinkan melakukan tindak pidana turut serta melakukan pembunuhan sebagaimana Pasal 338 KUHP jo. Pasal 55 ayat (1) ke-1 KUHP.</w:t>
      </w:r>
    </w:p>
    <w:p w14:paraId="4F140708" w14:textId="06DF44EB"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Namun, selain persoalan pembuktian, perkara ini juga menimbulkan persoalan mengenai pemidanaan. Majelis Hakim menjatuhkan pidana penjara selama 7 (tujuh) tahun kepada terdakwa. Dalam analisis Tugas Akhir, pidana tersebut dinilai masih terlalu ringan karena perbuatan terdakwa </w:t>
      </w:r>
      <w:r w:rsidRPr="00865042">
        <w:rPr>
          <w:rFonts w:ascii="Segoe UI" w:hAnsi="Segoe UI" w:cs="Segoe UI"/>
          <w:sz w:val="22"/>
          <w:szCs w:val="22"/>
          <w:lang w:val="id-ID"/>
        </w:rPr>
        <w:lastRenderedPageBreak/>
        <w:t>dianggap meresahkan masyarakat dan terdakwa melarikan diri setelah kejadian, sedangkan ancaman pidana berdasarkan Pasal 338 KUHP mencapai 15 tahun penjara. Penilaian tersebut menunjukkan adanya ruang untuk mengkaji lebih jauh hubungan antara pertimbangan hakim mengenai keadaan yang memberatkan dengan berat-ringannya pidana yang dijatuhkan.</w:t>
      </w:r>
    </w:p>
    <w:p w14:paraId="7D3E3798" w14:textId="0B112BED"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Persoalan tersebut penting dikaji karena pemidanaan tidak hanya berfungsi sebagai pembalasan terhadap pelaku, tetapi juga berkaitan dengan pencegahan, perlindungan masyarakat, dan pencapaian tujuan hukum. Tugas Akhir menggunakan teori tujuan hukum yang menempatkan keadilan, kemanfaatan, dan kepastian hukum sebagai nilai yang perlu diperhatikan dalam penegakan hukum. Selain itu, teori pemidanaan digunakan untuk menjelaskan dasar negara dalam menjatuhkan pidana, baik dari perspektif pembalasan maupun tujuan pencegahan dan perlindungan masyarakat.</w:t>
      </w:r>
    </w:p>
    <w:p w14:paraId="3912C179" w14:textId="4E9FC760"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Berdasarkan uraian tersebut, penelitian ini penting dilakukan untuk menganalisis secara yuridis konstruksi dakwaan dan pertimbangan hakim dalam menentukan pertanggungjawaban terdakwa sebagai pihak yang turut serta melakukan pembunuhan. Fokus tersebut diperlukan untuk menilai kesesuaian antara bentuk dakwaan yang diajukan, penerapan Pasal 338 KUHP jo. Pasal 55 ayat (1) ke-1 KUHP, fakta-fakta persidangan, dan kesimpulan hakim mengenai keterlibatan terdakwa.</w:t>
      </w:r>
    </w:p>
    <w:p w14:paraId="6BC83E4C" w14:textId="356A50F2"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Penelitian ini bertujuan untuk menganalisis dakwaan Jaksa Penuntut Umum dalam perkara tindak pidana pembunuhan berdasarkan Putusan Pengadilan Negeri Makassar Nomor 713/Pid.B/2023/PN Mks serta menganalisis secara yuridis putusan hakim, khususnya pertimbangan dalam menyatakan terdakwa terbukti melakukan tindak pidana turut serta melakukan pembunuhan. Penelitian diharapkan memberikan kontribusi bagi pengembangan kajian hukum pidana, terutama mengenai penerapan ajaran </w:t>
      </w:r>
      <w:r w:rsidRPr="00865042">
        <w:rPr>
          <w:rFonts w:ascii="Segoe UI" w:hAnsi="Segoe UI" w:cs="Segoe UI"/>
          <w:i/>
          <w:iCs/>
          <w:sz w:val="22"/>
          <w:szCs w:val="22"/>
          <w:lang w:val="id-ID"/>
        </w:rPr>
        <w:t>deelneming</w:t>
      </w:r>
      <w:r w:rsidRPr="00865042">
        <w:rPr>
          <w:rFonts w:ascii="Segoe UI" w:hAnsi="Segoe UI" w:cs="Segoe UI"/>
          <w:sz w:val="22"/>
          <w:szCs w:val="22"/>
          <w:lang w:val="id-ID"/>
        </w:rPr>
        <w:t>, serta menjadi bahan pertimbangan bagi aparat penegak hukum dalam menerapkan ketentuan penyertaan secara tepat dan proporsional.</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2295FB61" w:rsidR="003A41CA" w:rsidRPr="003A41CA"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Penelitian ini menggunakan penelitian hukum normatif, yaitu penelitian yang berfokus pada pengkajian norma hukum dan penerapannya dalam perkara konkret berdasarkan Putusan Pengadilan Negeri Makassar Nomor 713/Pid.B/2023/PN Mks. Pendekatan yang digunakan adalah studi kasus hukum (Legal Case Study), dengan objek utama berupa putusan pengadilan mengenai tindak pidana turut serta melakukan pembunuhan. Pendekatan tersebut digunakan untuk menganalisis kesesuaian antara ketentuan hukum yang diterapkan, dakwaan Jaksa Penuntut Umum, fakta-fakta persidangan, dan pertimbangan hukum hakim.</w:t>
      </w:r>
    </w:p>
    <w:p w14:paraId="1FDC296A" w14:textId="77777777" w:rsidR="00685B04" w:rsidRPr="005939EF" w:rsidRDefault="00685B04">
      <w:pPr>
        <w:pStyle w:val="IEEEParagraph"/>
        <w:ind w:left="567" w:right="322"/>
        <w:rPr>
          <w:lang w:val="id-ID"/>
        </w:rPr>
      </w:pPr>
    </w:p>
    <w:p w14:paraId="5C2D9AAD" w14:textId="77777777" w:rsidR="00685B04" w:rsidRDefault="00000000">
      <w:pPr>
        <w:pStyle w:val="Heading2"/>
        <w:ind w:right="322"/>
        <w:rPr>
          <w:rStyle w:val="mediumtext"/>
        </w:rPr>
      </w:pPr>
      <w:r>
        <w:rPr>
          <w:rStyle w:val="mediumtext"/>
        </w:rPr>
        <w:t>2.2 Lokasi Penelitian dan Sumber Bahan Hukum</w:t>
      </w:r>
    </w:p>
    <w:p w14:paraId="5C93D083" w14:textId="7CF91A44" w:rsidR="00685B04" w:rsidRPr="003A41CA" w:rsidRDefault="00865042">
      <w:pPr>
        <w:pStyle w:val="IEEEParagraph"/>
        <w:ind w:left="567" w:right="322" w:firstLine="567"/>
        <w:rPr>
          <w:rFonts w:ascii="Segoe UI" w:hAnsi="Segoe UI" w:cs="Segoe UI"/>
          <w:sz w:val="22"/>
          <w:szCs w:val="22"/>
          <w:lang w:val="sv-SE"/>
        </w:rPr>
      </w:pPr>
      <w:r w:rsidRPr="00865042">
        <w:rPr>
          <w:rFonts w:ascii="Segoe UI" w:hAnsi="Segoe UI" w:cs="Segoe UI"/>
          <w:sz w:val="22"/>
          <w:szCs w:val="22"/>
          <w:lang w:val="id-ID"/>
        </w:rPr>
        <w:t>Penelitian dilaksanakan di Pengadilan Negeri Makassar sebagai institusi yang memeriksa dan memutus perkara yang menjadi objek penelitian. Pemilihan lokasi didasarkan pada keterkaitannya secara langsung dengan Putusan Pengadilan Negeri Makassar Nomor 713/Pid.B/2023/PN Mks yang menjadi objek kajian.</w:t>
      </w:r>
    </w:p>
    <w:p w14:paraId="4BF2084B" w14:textId="77777777" w:rsidR="00685B04" w:rsidRPr="003A41CA" w:rsidRDefault="00685B04">
      <w:pPr>
        <w:pStyle w:val="IEEEParagraph"/>
        <w:ind w:left="567" w:right="322"/>
        <w:rPr>
          <w:lang w:val="sv-SE"/>
        </w:rPr>
      </w:pPr>
    </w:p>
    <w:p w14:paraId="1F34F785" w14:textId="3B1127AB" w:rsidR="00685B04" w:rsidRDefault="00000000">
      <w:pPr>
        <w:pStyle w:val="Heading2"/>
        <w:ind w:right="322"/>
        <w:rPr>
          <w:rStyle w:val="mediumtext"/>
        </w:rPr>
      </w:pPr>
      <w:r>
        <w:rPr>
          <w:rStyle w:val="mediumtext"/>
        </w:rPr>
        <w:t xml:space="preserve">2.3 </w:t>
      </w:r>
      <w:r w:rsidR="003A41CA" w:rsidRPr="003A41CA">
        <w:t>Jenis dan Sumber Data</w:t>
      </w:r>
    </w:p>
    <w:p w14:paraId="4E086DBA" w14:textId="4D65298B" w:rsidR="00685B04"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Penelitian menggunakan data primer dan data sekunder. Data primer diperoleh melalui wawancara dengan pihak yang berkaitan dengan objek penelitian, sedangkan data sekunder </w:t>
      </w:r>
      <w:r w:rsidRPr="00865042">
        <w:rPr>
          <w:rFonts w:ascii="Segoe UI" w:hAnsi="Segoe UI" w:cs="Segoe UI"/>
          <w:sz w:val="22"/>
          <w:szCs w:val="22"/>
          <w:lang w:val="id-ID"/>
        </w:rPr>
        <w:lastRenderedPageBreak/>
        <w:t xml:space="preserve">diperoleh melalui studi kepustakaan yang meliputi peraturan perundang-undangan, buku, karya ilmiah, dokumen, dan sumber hukum lainnya yang relevan dengan tindak pidana pembunuhan dan ajaran </w:t>
      </w:r>
      <w:r w:rsidRPr="00865042">
        <w:rPr>
          <w:rFonts w:ascii="Segoe UI" w:hAnsi="Segoe UI" w:cs="Segoe UI"/>
          <w:i/>
          <w:iCs/>
          <w:sz w:val="22"/>
          <w:szCs w:val="22"/>
          <w:lang w:val="id-ID"/>
        </w:rPr>
        <w:t>deelneming</w:t>
      </w:r>
      <w:r w:rsidRPr="00865042">
        <w:rPr>
          <w:rFonts w:ascii="Segoe UI" w:hAnsi="Segoe UI" w:cs="Segoe UI"/>
          <w:sz w:val="22"/>
          <w:szCs w:val="22"/>
          <w:lang w:val="id-ID"/>
        </w:rPr>
        <w:t>.</w:t>
      </w:r>
    </w:p>
    <w:p w14:paraId="5385C28D" w14:textId="77777777" w:rsidR="00685B04" w:rsidRPr="00865042" w:rsidRDefault="00685B04">
      <w:pPr>
        <w:pStyle w:val="IEEEParagraph"/>
        <w:ind w:left="567" w:right="322"/>
        <w:rPr>
          <w:lang w:val="id-ID"/>
        </w:rPr>
      </w:pPr>
    </w:p>
    <w:p w14:paraId="4D857164" w14:textId="635A2754" w:rsidR="00685B04" w:rsidRDefault="00000000">
      <w:pPr>
        <w:pStyle w:val="Heading2"/>
        <w:ind w:right="322"/>
        <w:rPr>
          <w:rStyle w:val="mediumtext"/>
        </w:rPr>
      </w:pPr>
      <w:r>
        <w:rPr>
          <w:rStyle w:val="mediumtext"/>
        </w:rPr>
        <w:t xml:space="preserve">2.4 </w:t>
      </w:r>
      <w:r w:rsidR="003A41CA" w:rsidRPr="003A41CA">
        <w:t>Teknik Pengumpulan Data</w:t>
      </w:r>
      <w:r w:rsidR="00865042">
        <w:t xml:space="preserve"> dan </w:t>
      </w:r>
      <w:r w:rsidR="00865042" w:rsidRPr="00865042">
        <w:t>Teknik Analisis Data</w:t>
      </w:r>
    </w:p>
    <w:p w14:paraId="135BDED3" w14:textId="46B5AD5F" w:rsidR="00685B04"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Pengumpulan data dilakukan melalui wawancara dan studi kepustakaan. Wawancara digunakan untuk memperoleh informasi yang berkaitan dengan permasalahan penelitian, sedangkan studi kepustakaan dilakukan dengan menelaah ketentuan peraturan perundang-undangan, literatur hukum, dokumen, dan sumber kepustakaan yang berhubungan dengan tindak pidana pembunuhan, penyertaan, serta pertimbangan hukum hakim.</w:t>
      </w:r>
    </w:p>
    <w:p w14:paraId="286F1512" w14:textId="1EEC9460"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Data yang telah diperoleh selanjutnya dianalisis secara deskriptif-kualitatif dengan menghubungkan norma hukum, teori, fakta-fakta persidangan, dan pertimbangan hakim dalam Putusan Pengadilan Negeri Makassar Nomor 713/Pid.B/2023/PN Mks. Analisis diarahkan untuk memperoleh jawaban mengenai ketepatan dakwaan Jaksa Penuntut Umum serta penerapan Pasal 338 KUHP jo. Pasal 55 ayat (1) ke-1 KUHP dalam menentukan pertanggungjawaban pidana terdakwa sebagai pihak yang turut serta melakukan pembunuhan.</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t>2.5 Batasan Penelitian</w:t>
      </w:r>
    </w:p>
    <w:p w14:paraId="2F4FAF3E" w14:textId="0A1D0478" w:rsidR="00685B04"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Penelitian ini dibatasi pada analisis yuridis terhadap dakwaan Jaksa Penuntut Umum dan pertimbangan hukum hakim dalam Putusan Pengadilan Negeri Makassar Nomor 713/Pid.B/2023/PN Mks. Pembahasan difokuskan pada penerapan Pasal 338 KUHP jo. Pasal 55 ayat (1) ke-1 KUHP, khususnya mengenai unsur pembunuhan dan bentuk penyertaan berupa turut serta melakukan (medeplegen), serta pidana yang dijatuhkan kepada terdakwa. Penelitian tidak membahas perkara pembunuhan atau bentuk penyertaan lain di luar objek putusan yang diteliti.</w:t>
      </w:r>
    </w:p>
    <w:p w14:paraId="1F02A9F4" w14:textId="77777777" w:rsidR="001E0508" w:rsidRPr="001C62FB" w:rsidRDefault="006F0069" w:rsidP="006F0069">
      <w:pPr>
        <w:pStyle w:val="Heading3"/>
        <w:ind w:left="1134" w:hanging="283"/>
      </w:pPr>
      <w:r>
        <w:rPr>
          <w:iCs/>
        </w:rPr>
        <w:t>HASIL DA</w:t>
      </w:r>
      <w:r>
        <w:t>N PEMBAHASAN</w:t>
      </w:r>
    </w:p>
    <w:p w14:paraId="3FC6641F" w14:textId="28D834B8" w:rsidR="00685B04" w:rsidRDefault="00000000">
      <w:pPr>
        <w:pStyle w:val="Heading2"/>
        <w:ind w:right="322"/>
        <w:rPr>
          <w:rStyle w:val="mediumtext"/>
        </w:rPr>
      </w:pPr>
      <w:r>
        <w:rPr>
          <w:rStyle w:val="mediumtext"/>
        </w:rPr>
        <w:t xml:space="preserve">3.1 </w:t>
      </w:r>
      <w:r w:rsidR="00865042" w:rsidRPr="00865042">
        <w:t>Analisis Dakwaan Jaksa Penuntut Umum dalam Tindak Pidana Turut Serta Melakukan Pembunuhan</w:t>
      </w:r>
    </w:p>
    <w:p w14:paraId="3BB467D1" w14:textId="4BB25592"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Dakwaan Jaksa Penuntut Umum merupakan dasar bagi pemeriksaan dan pembuktian perkara pidana di persidangan. Dalam perkara ini, Jaksa Penuntut Umum menyusun dakwaan dalam bentuk alternatif, yang memberikan beberapa kemungkinan kualifikasi hukum terhadap perbuatan terdakwa berdasarkan fakta yang nantinya terbukti di persidangan. Bentuk dakwaan tersebut terdiri atas dakwaan kesatu berdasarkan Pasal 338 KUHP jo. Pasal 55 ayat (1) ke-1 KUHP, dakwaan kedua berdasarkan Pasal 170 ayat (2) ke-3 KUHP, dan dakwaan ketiga berdasarkan Pasal 351 ayat (3) KUHP jo. Pasal 55 ayat (1) ke-1 KUHP.</w:t>
      </w:r>
    </w:p>
    <w:p w14:paraId="215056DC" w14:textId="3813A47A"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Dakwaan alternatif tersebut pada dasarnya menunjukkan bahwa Jaksa Penuntut Umum menghadapkan beberapa kemungkinan ketentuan pidana terhadap rangkaian perbuatan terdakwa. Dalam Tugas Akhir, bentuk alternatif tersebut dinilai tepat karena pada tahap penyusunan dakwaan Jaksa Penuntut Umum belum dapat memastikan secara final kualifikasi perbuatan yang akan terbukti berdasarkan pemeriksaan alat bukti di persidangan. Dengan demikian, penyusunan dakwaan memberikan ruang bagi hakim untuk menentukan dakwaan yang paling sesuai dengan fakta hukum yang berhasil dibuktikan.</w:t>
      </w:r>
    </w:p>
    <w:p w14:paraId="7E8354F6" w14:textId="336E58B4"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Perkara ini berkaitan dengan peristiwa kekerasan yang melibatkan terdakwa Ripal alias Irpan Bin Muhtar bersama beberapa pihak lainnya terhadap korban Nurtamar. Berdasarkan uraian fakta </w:t>
      </w:r>
      <w:r w:rsidRPr="00865042">
        <w:rPr>
          <w:rFonts w:ascii="Segoe UI" w:hAnsi="Segoe UI" w:cs="Segoe UI"/>
          <w:sz w:val="22"/>
          <w:szCs w:val="22"/>
          <w:lang w:val="id-ID"/>
        </w:rPr>
        <w:lastRenderedPageBreak/>
        <w:t>dalam Tugas Akhir, terdakwa datang bersama Lk. Abd. Latif Dg. Tuju dan Lk. Muh. Syam ke tempat tinggal Samsuria Lita setelah sebelumnya terjadi permasalahan antara terdakwa dan korban. Dalam peristiwa tersebut terjadi pertikaian dan korban kemudian masuk ke kamar mandi untuk menghindari serangan. Lk. Muh. Syam kemudian mengejar korban dan menusuk dada korban menggunakan badik.</w:t>
      </w:r>
    </w:p>
    <w:p w14:paraId="5B834EF8" w14:textId="7B4C6757"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Rangkaian perbuatan kemudian berlanjut ketika korban keluar dari kamar mandi dalam keadaan terluka. Pada saat tersebut, Lk. Abd. Latif Dg. Tuju memukul korban satu kali pada bagian wajah dan terdakwa turut memukul korban sebanyak dua kali. Setelah itu, terdakwa bersama Lk. Abd. Latif Dg. Tuju meninggalkan lokasi kejadian. Rangkaian fakta tersebut menjadi bagian penting dalam menilai keterlibatan terdakwa dalam keseluruhan peristiwa yang mengakibatkan korban meninggal dunia.</w:t>
      </w:r>
    </w:p>
    <w:p w14:paraId="03A7F636" w14:textId="36A6E58A"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Dari tiga alternatif dakwaan yang diajukan, Majelis Hakim memilih dakwaan alternatif kesatu, yaitu Pasal 338 KUHP jo. Pasal 55 ayat (1) ke-1 KUHP. Pemilihan tersebut dilakukan dengan memperhatikan fakta-fakta hukum, alat bukti, dan barang bukti yang terungkap selama persidangan. Setelah dakwaan alternatif kesatu dinilai terbukti, hakim tidak lagi mempertimbangkan dakwaan alternatif kedua dan ketiga.</w:t>
      </w:r>
    </w:p>
    <w:p w14:paraId="5E85EF00" w14:textId="0B6FF96B"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Pemilihan dakwaan kesatu tersebut berkaitan langsung dengan konstruksi tindak pidana yang dibuktikan oleh hakim, yaitu pembunuhan dalam bentuk pokok yang dilakukan dengan penyertaan. Hakim mempertimbangkan tiga unsur utama, yaitu unsur “barang siapa”, unsur “dengan sengaja merampas nyawa orang lain”, dan unsur “yang melakukan, menyuruh melakukan atau turut serta melakukan”. Dengan struktur tersebut, pembuktian tidak berhenti pada adanya kematian korban, tetapi juga diarahkan pada kesengajaan serta posisi terdakwa dalam pelaksanaan tindak pidana.</w:t>
      </w:r>
    </w:p>
    <w:p w14:paraId="69630A64" w14:textId="24C757CA"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erhadap unsur “barang siapa”, hakim menghubungkannya dengan identitas terdakwa yang diajukan ke persidangan. Berdasarkan identitas dalam surat dakwaan dan keterangan terdakwa, hakim menyatakan tidak terdapat kekeliruan mengenai subjek hukum yang diperiksa. Unsur tersebut kemudian dinyatakan terbukti secara sah dan meyakinkan. Pertimbangan ini menjadi tahap awal untuk memastikan bahwa subjek yang didakwa merupakan pihak yang dapat dimintai pertanggungjawaban pidana.</w:t>
      </w:r>
    </w:p>
    <w:p w14:paraId="40BA49B8" w14:textId="60CD5E33"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Selanjutnya, terhadap unsur dengan sengaja merampas nyawa orang lain, hakim mempertimbangkan pengertian kesengajaan sebagai keadaan ketika pelaku menghendaki dan mengetahui perbuatan yang dilakukan beserta akibatnya. Pertimbangan mengenai unsur tersebut kemudian dihubungkan dengan fakta yang terungkap dalam persidangan. Dengan demikian, pembuktian unsur pembunuhan tidak hanya bertumpu pada akibat berupa hilangnya nyawa korban, tetapi juga pada keadaan batin dan rangkaian tindakan yang dilakukan dalam peristiwa tersebut.</w:t>
      </w:r>
    </w:p>
    <w:p w14:paraId="32B2AE46" w14:textId="371BD904"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Unsur yang paling relevan dengan fokus penelitian adalah “yang melakukan, menyuruh melakukan atau turut serta melakukan” sebagaimana Pasal 55 ayat (1) ke-1 KUHP. Dalam pertimbangan hakim, ketentuan tersebut mencakup orang yang melakukan sendiri (</w:t>
      </w:r>
      <w:r w:rsidRPr="00865042">
        <w:rPr>
          <w:rFonts w:ascii="Segoe UI" w:hAnsi="Segoe UI" w:cs="Segoe UI"/>
          <w:i/>
          <w:iCs/>
          <w:sz w:val="22"/>
          <w:szCs w:val="22"/>
          <w:lang w:val="id-ID"/>
        </w:rPr>
        <w:t>pleger</w:t>
      </w:r>
      <w:r w:rsidRPr="00865042">
        <w:rPr>
          <w:rFonts w:ascii="Segoe UI" w:hAnsi="Segoe UI" w:cs="Segoe UI"/>
          <w:sz w:val="22"/>
          <w:szCs w:val="22"/>
          <w:lang w:val="id-ID"/>
        </w:rPr>
        <w:t>), orang yang menyuruh melakukan (</w:t>
      </w:r>
      <w:r w:rsidRPr="00865042">
        <w:rPr>
          <w:rFonts w:ascii="Segoe UI" w:hAnsi="Segoe UI" w:cs="Segoe UI"/>
          <w:i/>
          <w:iCs/>
          <w:sz w:val="22"/>
          <w:szCs w:val="22"/>
          <w:lang w:val="id-ID"/>
        </w:rPr>
        <w:t>doen pleger</w:t>
      </w:r>
      <w:r w:rsidRPr="00865042">
        <w:rPr>
          <w:rFonts w:ascii="Segoe UI" w:hAnsi="Segoe UI" w:cs="Segoe UI"/>
          <w:sz w:val="22"/>
          <w:szCs w:val="22"/>
          <w:lang w:val="id-ID"/>
        </w:rPr>
        <w:t>), dan orang yang turut serta melakukan (</w:t>
      </w:r>
      <w:r w:rsidRPr="00865042">
        <w:rPr>
          <w:rFonts w:ascii="Segoe UI" w:hAnsi="Segoe UI" w:cs="Segoe UI"/>
          <w:i/>
          <w:iCs/>
          <w:sz w:val="22"/>
          <w:szCs w:val="22"/>
          <w:lang w:val="id-ID"/>
        </w:rPr>
        <w:t>medepleger</w:t>
      </w:r>
      <w:r w:rsidRPr="00865042">
        <w:rPr>
          <w:rFonts w:ascii="Segoe UI" w:hAnsi="Segoe UI" w:cs="Segoe UI"/>
          <w:sz w:val="22"/>
          <w:szCs w:val="22"/>
          <w:lang w:val="id-ID"/>
        </w:rPr>
        <w:t>). Hakim kemudian menggunakan ketentuan tersebut untuk menilai keterlibatan terdakwa dalam rangkaian perbuatan yang berujung pada kematian korban.</w:t>
      </w:r>
    </w:p>
    <w:p w14:paraId="513C7A37" w14:textId="4DA645EB"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Berdasarkan rangkaian fakta persidangan, Tugas Akhir menyimpulkan bahwa dakwaan alternatif kesatu telah dapat dibuktikan. Terdakwa tidak hanya berada di lokasi kejadian, tetapi turut melakukan tindakan terhadap korban ketika korban telah keluar dari kamar mandi, yaitu </w:t>
      </w:r>
      <w:r w:rsidRPr="00865042">
        <w:rPr>
          <w:rFonts w:ascii="Segoe UI" w:hAnsi="Segoe UI" w:cs="Segoe UI"/>
          <w:sz w:val="22"/>
          <w:szCs w:val="22"/>
          <w:lang w:val="id-ID"/>
        </w:rPr>
        <w:lastRenderedPageBreak/>
        <w:t>memukul korban bersama salah satu pihak lainnya. Setelah seluruh fakta, keterangan saksi, pengakuan terdakwa, alat bukti, dan barang bukti dipertimbangkan, hakim menyatakan terdakwa terbukti secara sah dan meyakinkan melakukan tindak pidana turut serta melakukan pembunuhan berdasarkan Pasal 338 KUHP jo. Pasal 55 ayat (1) ke-1 KUHP.</w:t>
      </w:r>
    </w:p>
    <w:p w14:paraId="58DB159B" w14:textId="5AC04CCF"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 xml:space="preserve">Dengan demikian, dari perspektif penuntutan, dakwaan alternatif yang disusun Jaksa Penuntut Umum dapat dinilai telah memberikan dasar hukum yang memadai bagi pemeriksaan perkara. Pilihan tiga alternatif dakwaan memungkinkan hakim menentukan kualifikasi hukum yang paling sesuai dengan fakta yang terbukti. Dalam perkara ini, pilihan terhadap dakwaan kesatu menghasilkan pembuktian tindak pidana berdasarkan Pasal 338 KUHP jo. Pasal 55 ayat (1) ke-1 KUHP dan sekaligus menempatkan persoalan </w:t>
      </w:r>
      <w:r w:rsidRPr="00865042">
        <w:rPr>
          <w:rFonts w:ascii="Segoe UI" w:hAnsi="Segoe UI" w:cs="Segoe UI"/>
          <w:i/>
          <w:iCs/>
          <w:sz w:val="22"/>
          <w:szCs w:val="22"/>
          <w:lang w:val="id-ID"/>
        </w:rPr>
        <w:t>deelneming</w:t>
      </w:r>
      <w:r w:rsidRPr="00865042">
        <w:rPr>
          <w:rFonts w:ascii="Segoe UI" w:hAnsi="Segoe UI" w:cs="Segoe UI"/>
          <w:sz w:val="22"/>
          <w:szCs w:val="22"/>
          <w:lang w:val="id-ID"/>
        </w:rPr>
        <w:t xml:space="preserve">, khususnya </w:t>
      </w:r>
      <w:r w:rsidRPr="00865042">
        <w:rPr>
          <w:rFonts w:ascii="Segoe UI" w:hAnsi="Segoe UI" w:cs="Segoe UI"/>
          <w:i/>
          <w:iCs/>
          <w:sz w:val="22"/>
          <w:szCs w:val="22"/>
          <w:lang w:val="id-ID"/>
        </w:rPr>
        <w:t>medeplegen</w:t>
      </w:r>
      <w:r w:rsidRPr="00865042">
        <w:rPr>
          <w:rFonts w:ascii="Segoe UI" w:hAnsi="Segoe UI" w:cs="Segoe UI"/>
          <w:sz w:val="22"/>
          <w:szCs w:val="22"/>
          <w:lang w:val="id-ID"/>
        </w:rPr>
        <w:t>, sebagai dasar pertanggungjawaban terdakwa. Tugas Akhir secara eksplisit menilai penyusunan dakwaan alternatif tersebut telah dilakukan dengan benar sesuai ketentuan perundang-undangan.</w:t>
      </w:r>
    </w:p>
    <w:p w14:paraId="7D277D1B" w14:textId="1324C007"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Namun demikian, penting dicatat bahwa keberhasilan dakwaan alternatif kesatu tidak semata-mata ditentukan oleh bentuk dakwaannya, tetapi oleh kemampuan pembuktian setiap unsur yang didakwakan. Dalam perkara ini, hakim memilih dakwaan kesatu karena fakta persidangan dinilai mendukung penerapan Pasal 338 KUHP jo. Pasal 55 ayat (1) ke-1 KUHP. Setelah dakwaan tersebut terbukti, dakwaan lainnya tidak lagi dipertimbangkan. Dengan demikian, hubungan antara bentuk dakwaan, fakta persidangan, dan pembuktian unsur penyertaan menjadi dasar utama yang menghasilkan putusan terhadap terdakwa.</w:t>
      </w:r>
    </w:p>
    <w:p w14:paraId="46782888" w14:textId="5ED0BE37" w:rsidR="00865042" w:rsidRPr="00865042" w:rsidRDefault="00865042">
      <w:pPr>
        <w:pStyle w:val="IEEEParagraph"/>
        <w:ind w:left="567" w:right="322" w:firstLine="567"/>
        <w:rPr>
          <w:rFonts w:ascii="Segoe UI" w:hAnsi="Segoe UI" w:cs="Segoe UI"/>
          <w:sz w:val="22"/>
          <w:szCs w:val="22"/>
          <w:lang w:val="id-ID"/>
        </w:rPr>
      </w:pPr>
      <w:r w:rsidRPr="00865042">
        <w:rPr>
          <w:rFonts w:ascii="Segoe UI" w:hAnsi="Segoe UI" w:cs="Segoe UI"/>
          <w:sz w:val="22"/>
          <w:szCs w:val="22"/>
          <w:lang w:val="id-ID"/>
        </w:rPr>
        <w:t>Berdasarkan keseluruhan uraian tersebut, dapat disimpulkan bahwa dakwaan Jaksa Penuntut Umum dalam Putusan PN Makassar Nomor 713/Pid.B/2023/PN Mks telah disusun secara tepat dalam bentuk alternatif, dengan pilihan ketentuan Pasal 338 KUHP jo. Pasal 55 ayat (1) ke-1 KUHP, Pasal 170 ayat (2) ke-3 KUHP, dan Pasal 351 ayat (3) KUHP jo. Pasal 55 ayat (1) ke-1 KUHP. Hakim kemudian memilih dakwaan kesatu berdasarkan fakta dan alat bukti yang terungkap di persidangan dan menyatakan terdakwa terbukti melakukan tindak pidana turut serta melakukan pembunuhan. Temuan ini sesuai dengan kesimpulan Tugas Akhir yang menilai dakwaan JPU telah dilakukan secara baik dan benar dalam rangka penegakan hukum.</w:t>
      </w:r>
    </w:p>
    <w:p w14:paraId="785098ED" w14:textId="77777777" w:rsidR="00685B04" w:rsidRPr="005939EF" w:rsidRDefault="00685B04">
      <w:pPr>
        <w:pStyle w:val="IEEEParagraph"/>
        <w:ind w:left="567" w:right="322"/>
        <w:rPr>
          <w:lang w:val="id-ID"/>
        </w:rPr>
      </w:pPr>
    </w:p>
    <w:p w14:paraId="4707B302" w14:textId="22DAF573" w:rsidR="00685B04" w:rsidRDefault="00000000">
      <w:pPr>
        <w:pStyle w:val="Heading2"/>
        <w:ind w:right="322"/>
        <w:rPr>
          <w:rStyle w:val="mediumtext"/>
        </w:rPr>
      </w:pPr>
      <w:r>
        <w:rPr>
          <w:rStyle w:val="mediumtext"/>
        </w:rPr>
        <w:t xml:space="preserve">3.2 </w:t>
      </w:r>
      <w:r w:rsidR="00AD7B58" w:rsidRPr="00AD7B58">
        <w:t>Analisis Yuridis atas Putusan Hakim dalam Tindak Pidana Turut Serta Melakukan Pembunuhan</w:t>
      </w:r>
    </w:p>
    <w:p w14:paraId="5BD073E8" w14:textId="18CC3748"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 xml:space="preserve">Putusan Pengadilan Negeri Makassar Nomor 713/Pid.B/2023/PN Mks pada dasarnya dibangun atas pertimbangan terhadap dakwaan alternatif kesatu, yaitu Pasal 338 KUHP jo. Pasal 55 ayat (1) ke-1 KUHP. Setelah mempertimbangkan fakta-fakta hukum, alat bukti, barang bukti, serta keterangan yang terungkap dalam persidangan, Majelis Hakim menyatakan bahwa dakwaan tersebut terbukti sehingga dakwaan alternatif kedua dan ketiga tidak lagi dipertimbangkan. Tugas Akhir menilai pilihan tersebut telah tepat karena didasarkan pada fakta persidangan yang menjadi dasar pembentukan </w:t>
      </w:r>
      <w:r w:rsidRPr="00AD7B58">
        <w:rPr>
          <w:rFonts w:ascii="Segoe UI" w:hAnsi="Segoe UI" w:cs="Segoe UI"/>
          <w:i/>
          <w:iCs/>
          <w:sz w:val="22"/>
          <w:szCs w:val="22"/>
          <w:lang w:val="id-ID"/>
        </w:rPr>
        <w:t>ratio decidendi</w:t>
      </w:r>
      <w:r w:rsidRPr="00AD7B58">
        <w:rPr>
          <w:rFonts w:ascii="Segoe UI" w:hAnsi="Segoe UI" w:cs="Segoe UI"/>
          <w:sz w:val="22"/>
          <w:szCs w:val="22"/>
          <w:lang w:val="id-ID"/>
        </w:rPr>
        <w:t xml:space="preserve"> hakim.</w:t>
      </w:r>
    </w:p>
    <w:p w14:paraId="06DD150C" w14:textId="6B9C8FB6"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Dalam menguji dakwaan alternatif kesatu, hakim mempertimbangkan tiga unsur utama, yaitu “barang siapa”, “dengan sengaja merampas nyawa orang lain”, dan “yang melakukan, menyuruh melakukan atau turut serta melakukan”. Struktur pertimbangan tersebut menunjukkan bahwa hakim menguji terlebih dahulu keberadaan subjek hukum, kemudian unsur pokok pembunuhan, dan selanjutnya bentuk keterlibatan terdakwa dalam tindak pidana. Dengan demikian, pertanggungjawaban terdakwa tidak hanya didasarkan pada adanya korban meninggal dunia, tetapi juga pada hubungan antara perbuatan terdakwa dan tindak pidana yang terjadi.</w:t>
      </w:r>
    </w:p>
    <w:p w14:paraId="69167388" w14:textId="33E020F9"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lastRenderedPageBreak/>
        <w:t>Terhadap unsur “barang siapa”, hakim menyatakan bahwa unsur tersebut menunjuk pada subjek hukum yang diajukan ke persidangan. Identitas terdakwa Ripal alias Irpan Bin Muhtar sesuai dengan surat dakwaan dan dibenarkan oleh terdakwa dalam persidangan. Berdasarkan hal tersebut, hakim tidak menemukan kekeliruan mengenai subjek hukum yang diperiksa dan menyatakan unsur “barang siapa” telah terbukti secara sah dan meyakinkan. Pertimbangan ini memperlihatkan bahwa hakim terlebih dahulu memastikan adanya subjek hukum yang tepat sebelum menguji unsur materiil tindak pidana.</w:t>
      </w:r>
    </w:p>
    <w:p w14:paraId="28391127" w14:textId="1F6D5472"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Unsur berikutnya adalah “dengan sengaja merampas nyawa orang lain”. Dalam pertimbangannya, hakim memahami kesengajaan sebagai keadaan ketika seseorang menghendaki dan mengetahui tindakan yang dilakukannya beserta akibat yang dapat ditimbulkan. Setelah menghubungkan pengertian tersebut dengan fakta hukum yang terungkap di persidangan, hakim menyatakan unsur dengan sengaja merampas nyawa orang lain telah terbukti. Dengan demikian, hakim tidak hanya mempertimbangkan akibat berupa meninggalnya korban, tetapi juga aspek kesengajaan dalam rangkaian perbuatan yang dilakukan.</w:t>
      </w:r>
    </w:p>
    <w:p w14:paraId="5AEA5FF6" w14:textId="460A9819"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 xml:space="preserve">Persoalan yang paling penting dalam putusan ini adalah unsur “yang melakukan, menyuruh melakukan atau turut serta melakukan” sebagaimana Pasal 55 ayat (1) ke-1 KUHP. Ketentuan tersebut mencakup beberapa bentuk penyertaan, termasuk </w:t>
      </w:r>
      <w:r w:rsidRPr="00AD7B58">
        <w:rPr>
          <w:rFonts w:ascii="Segoe UI" w:hAnsi="Segoe UI" w:cs="Segoe UI"/>
          <w:i/>
          <w:iCs/>
          <w:sz w:val="22"/>
          <w:szCs w:val="22"/>
          <w:lang w:val="id-ID"/>
        </w:rPr>
        <w:t>pleger</w:t>
      </w:r>
      <w:r w:rsidRPr="00AD7B58">
        <w:rPr>
          <w:rFonts w:ascii="Segoe UI" w:hAnsi="Segoe UI" w:cs="Segoe UI"/>
          <w:sz w:val="22"/>
          <w:szCs w:val="22"/>
          <w:lang w:val="id-ID"/>
        </w:rPr>
        <w:t xml:space="preserve">, </w:t>
      </w:r>
      <w:r w:rsidRPr="00AD7B58">
        <w:rPr>
          <w:rFonts w:ascii="Segoe UI" w:hAnsi="Segoe UI" w:cs="Segoe UI"/>
          <w:i/>
          <w:iCs/>
          <w:sz w:val="22"/>
          <w:szCs w:val="22"/>
          <w:lang w:val="id-ID"/>
        </w:rPr>
        <w:t>doen pleger</w:t>
      </w:r>
      <w:r w:rsidRPr="00AD7B58">
        <w:rPr>
          <w:rFonts w:ascii="Segoe UI" w:hAnsi="Segoe UI" w:cs="Segoe UI"/>
          <w:sz w:val="22"/>
          <w:szCs w:val="22"/>
          <w:lang w:val="id-ID"/>
        </w:rPr>
        <w:t xml:space="preserve">, dan </w:t>
      </w:r>
      <w:r w:rsidRPr="00AD7B58">
        <w:rPr>
          <w:rFonts w:ascii="Segoe UI" w:hAnsi="Segoe UI" w:cs="Segoe UI"/>
          <w:i/>
          <w:iCs/>
          <w:sz w:val="22"/>
          <w:szCs w:val="22"/>
          <w:lang w:val="id-ID"/>
        </w:rPr>
        <w:t>medepleger</w:t>
      </w:r>
      <w:r w:rsidRPr="00AD7B58">
        <w:rPr>
          <w:rFonts w:ascii="Segoe UI" w:hAnsi="Segoe UI" w:cs="Segoe UI"/>
          <w:sz w:val="22"/>
          <w:szCs w:val="22"/>
          <w:lang w:val="id-ID"/>
        </w:rPr>
        <w:t>. Hakim menggunakan konstruksi tersebut untuk menentukan bahwa keterlibatan terdakwa dalam rangkaian peristiwa dapat dipertanggungjawabkan sebagai turut serta melakukan tindak pidana pembunuhan.</w:t>
      </w:r>
    </w:p>
    <w:p w14:paraId="2615F05D" w14:textId="60812B14"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Berdasarkan fakta yang diuraikan dalam Tugas Akhir, terdakwa tidak melakukan penusukan terhadap korban. Penusukan dilakukan oleh Lk. Muh. Syam ketika korban berada di kamar mandi. Namun, setelah korban keluar dari kamar mandi dalam keadaan terluka, terdakwa bersama Lk. Abd. Latif Dg. Tuju turut melakukan pemukulan terhadap korban sebelum meninggalkan tempat kejadian. Fakta ini menjadi bagian penting dalam menilai posisi terdakwa dalam keseluruhan rangkaian tindak pidana yang berakhir dengan meninggalnya korban.</w:t>
      </w:r>
    </w:p>
    <w:p w14:paraId="173B590D" w14:textId="18134A31"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Dalam perspektif penyertaan, keterlibatan seseorang dalam tindak pidana tidak semata-mata ditentukan oleh siapa yang melakukan tindakan utama yang menimbulkan akibat, tetapi juga oleh hubungan keterlibatan dalam pelaksanaan tindak pidana sebagaimana dibuktikan di persidangan. Dalam perkara ini, hakim menempatkan terdakwa dalam kategori turut serta melakukan sebagaimana Pasal 55 ayat (1) ke-1 KUHP. Tugas Akhir menerima konstruksi tersebut dan menilai bahwa hakim telah menerapkan hukum berdasarkan fakta-fakta persidangan.</w:t>
      </w:r>
    </w:p>
    <w:p w14:paraId="5E84C393" w14:textId="005AC0DD"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Dengan demikian, dari aspek pembuktian dan penerapan hukum, putusan dapat dinilai memiliki dasar yang cukup jelas. Hakim menghubungkan ketentuan Pasal 338 KUHP jo. Pasal 55 ayat (1) ke-1 KUHP dengan fakta hukum yang terungkap di persidangan dan kemudian menyimpulkan bahwa terdakwa terbukti secara sah dan meyakinkan melakukan tindak pidana turut serta melakukan pembunuhan. Tugas Akhir secara eksplisit menyatakan bahwa pertimbangan tersebut sudah benar dalam rangka penegakan hukum dan telah didasarkan pada alat bukti, barang bukti, serta fakta-fakta hukum selama persidangan.</w:t>
      </w:r>
    </w:p>
    <w:p w14:paraId="023BDB05" w14:textId="4080D74B"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Setelah menyatakan terdakwa terbukti bersalah, Majelis Hakim menjatuhkan pidana penjara selama 7 (tujuh) tahun, dengan masa penangkapan dan penahanan yang telah dijalani dikurangkan seluruhnya dari pidana tersebut. Hakim juga menetapkan terdakwa tetap ditahan serta membebankan biaya perkara sebesar Rp5.000,00.</w:t>
      </w:r>
    </w:p>
    <w:p w14:paraId="29CFD134" w14:textId="06BEC341"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 xml:space="preserve">Persoalan selanjutnya terletak pada proporsionalitas pidana. Dalam analisis Tugas Akhir, terdapat keadaan yang memberatkan berupa perbuatan terdakwa yang meresahkan masyarakat </w:t>
      </w:r>
      <w:r w:rsidRPr="00AD7B58">
        <w:rPr>
          <w:rFonts w:ascii="Segoe UI" w:hAnsi="Segoe UI" w:cs="Segoe UI"/>
          <w:sz w:val="22"/>
          <w:szCs w:val="22"/>
          <w:lang w:val="id-ID"/>
        </w:rPr>
        <w:lastRenderedPageBreak/>
        <w:t>dan tindakan melarikan diri setelah kejadian. Meskipun demikian, penulis Tugas Akhir menilai pidana 7 tahun masih terlalu ringan karena ancaman pidana berdasarkan Pasal 338 KUHP adalah pidana penjara paling lama 15 tahun. Pidana tersebut dinilai belum memberikan efek jera yang optimal bagi pelaku maupun masyarakat.</w:t>
      </w:r>
    </w:p>
    <w:p w14:paraId="748EB978" w14:textId="5B15A6E9"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Penilaian mengenai berat-ringannya pidana perlu ditempatkan dalam kerangka tujuan pemidanaan, yang dalam Tugas Akhir meliputi pembalasan, pencegahan, perlindungan masyarakat, dan pembinaan. Dengan kerangka tersebut, pidana bukan hanya dimaksudkan untuk memberikan respons terhadap kesalahan terdakwa, tetapi juga untuk mencegah pengulangan tindak pidana dan memberikan perlindungan kepada masyarakat. Dalam perkara pembunuhan yang dilakukan dengan penyertaan, pertimbangan terhadap dampak sosial dan efek pencegahan menjadi relevan ketika hakim menentukan berat pidana yang akan dijatuhkan.</w:t>
      </w:r>
    </w:p>
    <w:p w14:paraId="50F44695" w14:textId="79C4E299"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Selain tujuan pemidanaan, analisis putusan juga perlu memperhatikan keseimbangan antara keadilan, kemanfaatan, dan kepastian hukum. Tugas Akhir menggunakan teori tujuan hukum yang menempatkan ketiga nilai tersebut sebagai dasar dalam menilai kualitas putusan. Oleh karena itu, meskipun penerapan Pasal 338 KUHP jo. Pasal 55 ayat (1) ke-1 KUHP telah memberikan kepastian hukum mengenai pertanggungjawaban terdakwa, berat-ringannya pidana tetap perlu dilihat dari sejauh mana putusan tersebut mampu memberikan keadilan dan kemanfaatan bagi masyarakat.</w:t>
      </w:r>
    </w:p>
    <w:p w14:paraId="47A94B26" w14:textId="59EBB016"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 xml:space="preserve">Berdasarkan keseluruhan uraian, terdapat dua kesimpulan analitis terhadap putusan tersebut. Pertama, dari aspek dakwaan, pembuktian, dan penerapan ajaran </w:t>
      </w:r>
      <w:r w:rsidRPr="00AD7B58">
        <w:rPr>
          <w:rFonts w:ascii="Segoe UI" w:hAnsi="Segoe UI" w:cs="Segoe UI"/>
          <w:i/>
          <w:iCs/>
          <w:sz w:val="22"/>
          <w:szCs w:val="22"/>
          <w:lang w:val="id-ID"/>
        </w:rPr>
        <w:t>deelneming</w:t>
      </w:r>
      <w:r w:rsidRPr="00AD7B58">
        <w:rPr>
          <w:rFonts w:ascii="Segoe UI" w:hAnsi="Segoe UI" w:cs="Segoe UI"/>
          <w:sz w:val="22"/>
          <w:szCs w:val="22"/>
          <w:lang w:val="id-ID"/>
        </w:rPr>
        <w:t>, pertimbangan hakim dapat dinilai telah memiliki dasar yuridis dan fakta persidangan yang memadai. Kedua, dari aspek pemidanaan, pidana penjara selama 7 tahun masih dapat dikritisi dari perspektif proporsionalitas dan efek jera, terutama karena Tugas Akhir mencatat adanya keadaan yang memberatkan berupa keresahan masyarakat dan tindakan melarikan diri setelah kejadian, sementara ancaman maksimum Pasal 338 KUHP adalah 15 tahun.</w:t>
      </w:r>
    </w:p>
    <w:p w14:paraId="68BE7A42" w14:textId="0FC02DA6"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Dengan demikian, Putusan Pengadilan Negeri Makassar Nomor 713/Pid.B/2023/PN Mks dapat dinilai tepat dalam menentukan pertanggungjawaban terdakwa sebagai pihak yang turut serta melakukan pembunuhan, tetapi masih terbuka untuk dikritisi dari sisi proporsionalitas pemidanaan. Kritik tersebut tidak diarahkan untuk meniadakan kewenangan hakim dalam menentukan pidana, melainkan untuk menegaskan bahwa pertimbangan pemidanaan idealnya memberikan keseimbangan antara tingkat kesalahan, akibat tindak pidana, keadaan yang memberatkan, tujuan pemidanaan, serta kepentingan perlindungan masyarakat. Temuan tersebut sejalan dengan Tugas Akhir yang menyatakan bahwa pertimbangan hukum hakim telah dilakukan secara baik dan benar, tetapi pidana yang dijatuhkan dinilai masih terlalu ringan untuk memberikan efek jera.</w:t>
      </w:r>
    </w:p>
    <w:p w14:paraId="1DDB275D" w14:textId="77777777" w:rsidR="001E0508" w:rsidRPr="00EA7E75" w:rsidRDefault="00985560" w:rsidP="00985560">
      <w:pPr>
        <w:pStyle w:val="Heading3"/>
        <w:ind w:left="993" w:hanging="426"/>
      </w:pPr>
      <w:r>
        <w:t>KESIMPULAN</w:t>
      </w:r>
    </w:p>
    <w:p w14:paraId="3A173E8B" w14:textId="77777777"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Berdasarkan hasil penelitian dan pembahasan mengenai Analisis Yuridis Turut Serta Melakukan Pembunuhan Berdasarkan Putusan Pengadilan Negeri Makassar Nomor 713/Pid.B/2023/PN Mks, dapat disimpulkan bahwa dakwaan Jaksa Penuntut Umum telah disusun dalam bentuk alternatif, yaitu dakwaan berdasarkan Pasal 338 KUHP jo. Pasal 55 ayat (1) ke-1 KUHP, Pasal 170 ayat (2) ke-3 KUHP, dan Pasal 351 ayat (3) KUHP jo. Pasal 55 ayat (1) ke-1 KUHP. Bentuk dakwaan tersebut memberikan ruang bagi hakim untuk menentukan ketentuan pidana yang paling sesuai dengan fakta dan pembuktian di persidangan. Dalam perkara ini, hakim memilih dakwaan alternatif kesatu karena berdasarkan alat bukti, barang bukti, dan fakta hukum yang terungkap, unsur-unsur Pasal 338 KUHP jo. Pasal 55 ayat (1) ke-1 KUHP dinilai terpenuhi.</w:t>
      </w:r>
      <w:r w:rsidRPr="00AD7B58">
        <w:rPr>
          <w:rFonts w:ascii="Segoe UI" w:hAnsi="Segoe UI" w:cs="Segoe UI"/>
          <w:sz w:val="22"/>
          <w:szCs w:val="22"/>
          <w:lang w:val="id-ID"/>
        </w:rPr>
        <w:t xml:space="preserve"> </w:t>
      </w:r>
    </w:p>
    <w:p w14:paraId="2EDA510F" w14:textId="77777777"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lastRenderedPageBreak/>
        <w:t>Pertimbangan hukum hakim dalam menyatakan terdakwa terbukti melakukan tindak pidana turut serta melakukan pembunuhan pada dasarnya telah didasarkan pada fakta persidangan dan penerapan ketentuan hukum yang relevan. Hakim mempertimbangkan unsur “barang siapa”, unsur “dengan sengaja merampas nyawa orang lain”, serta unsur “yang melakukan, menyuruh melakukan atau turut serta melakukan”. Berdasarkan pertimbangan tersebut, terdakwa dinyatakan terbukti secara sah dan meyakinkan melakukan tindak pidana turut serta melakukan pembunuhan sebagaimana Pasal 338 KUHP jo. Pasal 55 ayat (1) ke-1 KUHP.</w:t>
      </w:r>
      <w:r w:rsidRPr="00AD7B58">
        <w:rPr>
          <w:rFonts w:ascii="Segoe UI" w:hAnsi="Segoe UI" w:cs="Segoe UI"/>
          <w:sz w:val="22"/>
          <w:szCs w:val="22"/>
          <w:lang w:val="id-ID"/>
        </w:rPr>
        <w:t xml:space="preserve"> </w:t>
      </w:r>
    </w:p>
    <w:p w14:paraId="64782491" w14:textId="77777777"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Selanjutnya, Majelis Hakim menjatuhkan pidana penjara selama 7 (tujuh) tahun kepada terdakwa. Berdasarkan analisis penelitian, pidana tersebut telah memberikan kepastian hukum mengenai pertanggungjawaban pidana terdakwa, tetapi masih dapat dikritisi dari aspek proporsionalitas pemidanaan. Hal tersebut berkaitan dengan adanya keadaan yang memberatkan berupa perbuatan yang meresahkan masyarakat dan tindakan melarikan diri setelah kejadian, sementara ancaman pidana berdasarkan Pasal 338 KUHP mencapai 15 tahun penjara. Tugas Akhir menilai pidana 7 tahun tersebut masih relatif ringan dan belum memberikan efek jera yang optimal bagi pelaku maupun masyarakat.</w:t>
      </w:r>
      <w:r w:rsidRPr="00AD7B58">
        <w:rPr>
          <w:rFonts w:ascii="Segoe UI" w:hAnsi="Segoe UI" w:cs="Segoe UI"/>
          <w:sz w:val="22"/>
          <w:szCs w:val="22"/>
          <w:lang w:val="id-ID"/>
        </w:rPr>
        <w:t xml:space="preserve"> </w:t>
      </w:r>
    </w:p>
    <w:p w14:paraId="210D1F84" w14:textId="77777777" w:rsidR="00AD7B58" w:rsidRPr="00AD7B58" w:rsidRDefault="00AD7B58" w:rsidP="006C1665">
      <w:pPr>
        <w:pStyle w:val="IEEEParagraph"/>
        <w:ind w:left="567" w:right="322" w:firstLine="567"/>
        <w:rPr>
          <w:rFonts w:ascii="Segoe UI" w:hAnsi="Segoe UI" w:cs="Segoe UI"/>
          <w:sz w:val="22"/>
          <w:szCs w:val="22"/>
          <w:lang w:val="id-ID"/>
        </w:rPr>
      </w:pPr>
      <w:r w:rsidRPr="00AD7B58">
        <w:rPr>
          <w:rFonts w:ascii="Segoe UI" w:hAnsi="Segoe UI" w:cs="Segoe UI"/>
          <w:sz w:val="22"/>
          <w:szCs w:val="22"/>
          <w:lang w:val="id-ID"/>
        </w:rPr>
        <w:t>Dengan demikian, penelitian ini menunjukkan bahwa penerapan hukum terhadap tindak pidana turut serta melakukan pembunuhan dalam Putusan PN Makassar Nomor 713/Pid.B/2023/PN Mks telah memiliki dasar yuridis yang memadai, sedangkan aspek pemidanaannya masih dapat dievaluasi dari perspektif keadilan, kemanfaatan, dan tujuan pencegahan. Pertimbangan hakim idealnya tidak hanya memastikan terpenuhinya unsur tindak pidana, tetapi juga mempertimbangkan secara proporsional tingkat keterlibatan terdakwa, akibat yang ditimbulkan, keadaan yang memberatkan, serta tujuan pemidanaan sehingga putusan mampu memberikan kepastian hukum sekaligus perlindungan dan rasa keadilan bagi masyarakat.</w:t>
      </w:r>
      <w:r w:rsidRPr="00AD7B58">
        <w:rPr>
          <w:rFonts w:ascii="Segoe UI" w:hAnsi="Segoe UI" w:cs="Segoe UI"/>
          <w:sz w:val="22"/>
          <w:szCs w:val="22"/>
          <w:lang w:val="id-ID"/>
        </w:rPr>
        <w:t xml:space="preserve">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491B5E90"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Arief</w:t>
      </w:r>
      <w:proofErr w:type="spellEnd"/>
      <w:r w:rsidRPr="00AD7B58">
        <w:rPr>
          <w:rFonts w:cs="Segoe UI"/>
          <w:sz w:val="20"/>
          <w:szCs w:val="20"/>
          <w:lang w:val="sv-SE"/>
        </w:rPr>
        <w:t xml:space="preserve">, S. (2007). </w:t>
      </w:r>
      <w:proofErr w:type="spellStart"/>
      <w:r w:rsidRPr="00AD7B58">
        <w:rPr>
          <w:rFonts w:cs="Segoe UI"/>
          <w:i/>
          <w:iCs/>
          <w:sz w:val="20"/>
          <w:szCs w:val="20"/>
          <w:lang w:val="sv-SE"/>
        </w:rPr>
        <w:t>Pengembanan</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ilmu</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teori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dan </w:t>
      </w:r>
      <w:proofErr w:type="spellStart"/>
      <w:r w:rsidRPr="00AD7B58">
        <w:rPr>
          <w:rFonts w:cs="Segoe UI"/>
          <w:i/>
          <w:iCs/>
          <w:sz w:val="20"/>
          <w:szCs w:val="20"/>
          <w:lang w:val="sv-SE"/>
        </w:rPr>
        <w:t>filsafat</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sz w:val="20"/>
          <w:szCs w:val="20"/>
          <w:lang w:val="sv-SE"/>
        </w:rPr>
        <w:t xml:space="preserve">. </w:t>
      </w:r>
      <w:proofErr w:type="spellStart"/>
      <w:r w:rsidRPr="00AD7B58">
        <w:rPr>
          <w:rFonts w:cs="Segoe UI"/>
          <w:sz w:val="20"/>
          <w:szCs w:val="20"/>
          <w:lang w:val="sv-SE"/>
        </w:rPr>
        <w:t>Refika</w:t>
      </w:r>
      <w:proofErr w:type="spellEnd"/>
      <w:r w:rsidRPr="00AD7B58">
        <w:rPr>
          <w:rFonts w:cs="Segoe UI"/>
          <w:sz w:val="20"/>
          <w:szCs w:val="20"/>
          <w:lang w:val="sv-SE"/>
        </w:rPr>
        <w:t xml:space="preserve"> </w:t>
      </w:r>
      <w:proofErr w:type="spellStart"/>
      <w:r w:rsidRPr="00AD7B58">
        <w:rPr>
          <w:rFonts w:cs="Segoe UI"/>
          <w:sz w:val="20"/>
          <w:szCs w:val="20"/>
          <w:lang w:val="sv-SE"/>
        </w:rPr>
        <w:t>Aditama</w:t>
      </w:r>
      <w:proofErr w:type="spellEnd"/>
      <w:r w:rsidRPr="00AD7B58">
        <w:rPr>
          <w:rFonts w:cs="Segoe UI"/>
          <w:sz w:val="20"/>
          <w:szCs w:val="20"/>
          <w:lang w:val="sv-SE"/>
        </w:rPr>
        <w:t>.</w:t>
      </w:r>
    </w:p>
    <w:p w14:paraId="3A07950D"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Chazawi</w:t>
      </w:r>
      <w:proofErr w:type="spellEnd"/>
      <w:r w:rsidRPr="00AD7B58">
        <w:rPr>
          <w:rFonts w:cs="Segoe UI"/>
          <w:sz w:val="20"/>
          <w:szCs w:val="20"/>
          <w:lang w:val="sv-SE"/>
        </w:rPr>
        <w:t xml:space="preserve">, A. (2014). </w:t>
      </w:r>
      <w:proofErr w:type="spellStart"/>
      <w:r w:rsidRPr="00AD7B58">
        <w:rPr>
          <w:rFonts w:cs="Segoe UI"/>
          <w:i/>
          <w:iCs/>
          <w:sz w:val="20"/>
          <w:szCs w:val="20"/>
          <w:lang w:val="sv-SE"/>
        </w:rPr>
        <w:t>Pelajaran</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w:t>
      </w:r>
      <w:proofErr w:type="spellStart"/>
      <w:r w:rsidRPr="00AD7B58">
        <w:rPr>
          <w:rFonts w:cs="Segoe UI"/>
          <w:i/>
          <w:iCs/>
          <w:sz w:val="20"/>
          <w:szCs w:val="20"/>
          <w:lang w:val="sv-SE"/>
        </w:rPr>
        <w:t>bagian</w:t>
      </w:r>
      <w:proofErr w:type="spellEnd"/>
      <w:r w:rsidRPr="00AD7B58">
        <w:rPr>
          <w:rFonts w:cs="Segoe UI"/>
          <w:i/>
          <w:iCs/>
          <w:sz w:val="20"/>
          <w:szCs w:val="20"/>
          <w:lang w:val="sv-SE"/>
        </w:rPr>
        <w:t xml:space="preserve"> 3: </w:t>
      </w:r>
      <w:proofErr w:type="spellStart"/>
      <w:r w:rsidRPr="00AD7B58">
        <w:rPr>
          <w:rFonts w:cs="Segoe UI"/>
          <w:i/>
          <w:iCs/>
          <w:sz w:val="20"/>
          <w:szCs w:val="20"/>
          <w:lang w:val="sv-SE"/>
        </w:rPr>
        <w:t>Percobaan</w:t>
      </w:r>
      <w:proofErr w:type="spellEnd"/>
      <w:r w:rsidRPr="00AD7B58">
        <w:rPr>
          <w:rFonts w:cs="Segoe UI"/>
          <w:i/>
          <w:iCs/>
          <w:sz w:val="20"/>
          <w:szCs w:val="20"/>
          <w:lang w:val="sv-SE"/>
        </w:rPr>
        <w:t xml:space="preserve"> dan </w:t>
      </w:r>
      <w:proofErr w:type="spellStart"/>
      <w:r w:rsidRPr="00AD7B58">
        <w:rPr>
          <w:rFonts w:cs="Segoe UI"/>
          <w:i/>
          <w:iCs/>
          <w:sz w:val="20"/>
          <w:szCs w:val="20"/>
          <w:lang w:val="sv-SE"/>
        </w:rPr>
        <w:t>penyertaan</w:t>
      </w:r>
      <w:proofErr w:type="spellEnd"/>
      <w:r w:rsidRPr="00AD7B58">
        <w:rPr>
          <w:rFonts w:cs="Segoe UI"/>
          <w:sz w:val="20"/>
          <w:szCs w:val="20"/>
          <w:lang w:val="sv-SE"/>
        </w:rPr>
        <w:t xml:space="preserve">. </w:t>
      </w:r>
      <w:proofErr w:type="spellStart"/>
      <w:r w:rsidRPr="00AD7B58">
        <w:rPr>
          <w:rFonts w:cs="Segoe UI"/>
          <w:sz w:val="20"/>
          <w:szCs w:val="20"/>
          <w:lang w:val="sv-SE"/>
        </w:rPr>
        <w:t>Rajawali</w:t>
      </w:r>
      <w:proofErr w:type="spellEnd"/>
      <w:r w:rsidRPr="00AD7B58">
        <w:rPr>
          <w:rFonts w:cs="Segoe UI"/>
          <w:sz w:val="20"/>
          <w:szCs w:val="20"/>
          <w:lang w:val="sv-SE"/>
        </w:rPr>
        <w:t xml:space="preserve"> Press.</w:t>
      </w:r>
    </w:p>
    <w:p w14:paraId="4FEDEC4A"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Hamzah</w:t>
      </w:r>
      <w:proofErr w:type="spellEnd"/>
      <w:r w:rsidRPr="00AD7B58">
        <w:rPr>
          <w:rFonts w:cs="Segoe UI"/>
          <w:sz w:val="20"/>
          <w:szCs w:val="20"/>
          <w:lang w:val="sv-SE"/>
        </w:rPr>
        <w:t xml:space="preserve">, A. (2008). </w:t>
      </w:r>
      <w:r w:rsidRPr="00AD7B58">
        <w:rPr>
          <w:rFonts w:cs="Segoe UI"/>
          <w:i/>
          <w:iCs/>
          <w:sz w:val="20"/>
          <w:szCs w:val="20"/>
          <w:lang w:val="sv-SE"/>
        </w:rPr>
        <w:t xml:space="preserve">Asas-asas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sz w:val="20"/>
          <w:szCs w:val="20"/>
          <w:lang w:val="sv-SE"/>
        </w:rPr>
        <w:t xml:space="preserve">. </w:t>
      </w:r>
      <w:proofErr w:type="spellStart"/>
      <w:r w:rsidRPr="00AD7B58">
        <w:rPr>
          <w:rFonts w:cs="Segoe UI"/>
          <w:sz w:val="20"/>
          <w:szCs w:val="20"/>
          <w:lang w:val="sv-SE"/>
        </w:rPr>
        <w:t>Rineka</w:t>
      </w:r>
      <w:proofErr w:type="spellEnd"/>
      <w:r w:rsidRPr="00AD7B58">
        <w:rPr>
          <w:rFonts w:cs="Segoe UI"/>
          <w:sz w:val="20"/>
          <w:szCs w:val="20"/>
          <w:lang w:val="sv-SE"/>
        </w:rPr>
        <w:t xml:space="preserve"> </w:t>
      </w:r>
      <w:proofErr w:type="spellStart"/>
      <w:r w:rsidRPr="00AD7B58">
        <w:rPr>
          <w:rFonts w:cs="Segoe UI"/>
          <w:sz w:val="20"/>
          <w:szCs w:val="20"/>
          <w:lang w:val="sv-SE"/>
        </w:rPr>
        <w:t>Cipta</w:t>
      </w:r>
      <w:proofErr w:type="spellEnd"/>
      <w:r w:rsidRPr="00AD7B58">
        <w:rPr>
          <w:rFonts w:cs="Segoe UI"/>
          <w:sz w:val="20"/>
          <w:szCs w:val="20"/>
          <w:lang w:val="sv-SE"/>
        </w:rPr>
        <w:t>.</w:t>
      </w:r>
    </w:p>
    <w:p w14:paraId="758EA12E"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AD7B58">
        <w:rPr>
          <w:rFonts w:cs="Segoe UI"/>
          <w:sz w:val="20"/>
          <w:szCs w:val="20"/>
          <w:lang w:val="sv-SE"/>
        </w:rPr>
        <w:t xml:space="preserve">Ilyas, A. (2012). </w:t>
      </w:r>
      <w:r w:rsidRPr="00AD7B58">
        <w:rPr>
          <w:rFonts w:cs="Segoe UI"/>
          <w:i/>
          <w:iCs/>
          <w:sz w:val="20"/>
          <w:szCs w:val="20"/>
          <w:lang w:val="sv-SE"/>
        </w:rPr>
        <w:t xml:space="preserve">Asas-asas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w:t>
      </w:r>
      <w:proofErr w:type="spellStart"/>
      <w:r w:rsidRPr="00AD7B58">
        <w:rPr>
          <w:rFonts w:cs="Segoe UI"/>
          <w:i/>
          <w:iCs/>
          <w:sz w:val="20"/>
          <w:szCs w:val="20"/>
          <w:lang w:val="sv-SE"/>
        </w:rPr>
        <w:t>Memahami</w:t>
      </w:r>
      <w:proofErr w:type="spellEnd"/>
      <w:r w:rsidRPr="00AD7B58">
        <w:rPr>
          <w:rFonts w:cs="Segoe UI"/>
          <w:i/>
          <w:iCs/>
          <w:sz w:val="20"/>
          <w:szCs w:val="20"/>
          <w:lang w:val="sv-SE"/>
        </w:rPr>
        <w:t xml:space="preserve"> </w:t>
      </w:r>
      <w:proofErr w:type="spellStart"/>
      <w:r w:rsidRPr="00AD7B58">
        <w:rPr>
          <w:rFonts w:cs="Segoe UI"/>
          <w:i/>
          <w:iCs/>
          <w:sz w:val="20"/>
          <w:szCs w:val="20"/>
          <w:lang w:val="sv-SE"/>
        </w:rPr>
        <w:t>tindak</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dan </w:t>
      </w:r>
      <w:proofErr w:type="spellStart"/>
      <w:r w:rsidRPr="00AD7B58">
        <w:rPr>
          <w:rFonts w:cs="Segoe UI"/>
          <w:i/>
          <w:iCs/>
          <w:sz w:val="20"/>
          <w:szCs w:val="20"/>
          <w:lang w:val="sv-SE"/>
        </w:rPr>
        <w:t>pertanggungjawaban</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w:t>
      </w:r>
      <w:proofErr w:type="spellStart"/>
      <w:r w:rsidRPr="00AD7B58">
        <w:rPr>
          <w:rFonts w:cs="Segoe UI"/>
          <w:i/>
          <w:iCs/>
          <w:sz w:val="20"/>
          <w:szCs w:val="20"/>
          <w:lang w:val="sv-SE"/>
        </w:rPr>
        <w:t>sebagai</w:t>
      </w:r>
      <w:proofErr w:type="spellEnd"/>
      <w:r w:rsidRPr="00AD7B58">
        <w:rPr>
          <w:rFonts w:cs="Segoe UI"/>
          <w:i/>
          <w:iCs/>
          <w:sz w:val="20"/>
          <w:szCs w:val="20"/>
          <w:lang w:val="sv-SE"/>
        </w:rPr>
        <w:t xml:space="preserve"> </w:t>
      </w:r>
      <w:proofErr w:type="spellStart"/>
      <w:r w:rsidRPr="00AD7B58">
        <w:rPr>
          <w:rFonts w:cs="Segoe UI"/>
          <w:i/>
          <w:iCs/>
          <w:sz w:val="20"/>
          <w:szCs w:val="20"/>
          <w:lang w:val="sv-SE"/>
        </w:rPr>
        <w:t>syarat</w:t>
      </w:r>
      <w:proofErr w:type="spellEnd"/>
      <w:r w:rsidRPr="00AD7B58">
        <w:rPr>
          <w:rFonts w:cs="Segoe UI"/>
          <w:i/>
          <w:iCs/>
          <w:sz w:val="20"/>
          <w:szCs w:val="20"/>
          <w:lang w:val="sv-SE"/>
        </w:rPr>
        <w:t xml:space="preserve"> </w:t>
      </w:r>
      <w:proofErr w:type="spellStart"/>
      <w:r w:rsidRPr="00AD7B58">
        <w:rPr>
          <w:rFonts w:cs="Segoe UI"/>
          <w:i/>
          <w:iCs/>
          <w:sz w:val="20"/>
          <w:szCs w:val="20"/>
          <w:lang w:val="sv-SE"/>
        </w:rPr>
        <w:t>pemidanaan</w:t>
      </w:r>
      <w:proofErr w:type="spellEnd"/>
      <w:r w:rsidRPr="00AD7B58">
        <w:rPr>
          <w:rFonts w:cs="Segoe UI"/>
          <w:sz w:val="20"/>
          <w:szCs w:val="20"/>
          <w:lang w:val="sv-SE"/>
        </w:rPr>
        <w:t xml:space="preserve">. </w:t>
      </w:r>
      <w:proofErr w:type="spellStart"/>
      <w:r w:rsidRPr="00AD7B58">
        <w:rPr>
          <w:rFonts w:cs="Segoe UI"/>
          <w:sz w:val="20"/>
          <w:szCs w:val="20"/>
          <w:lang w:val="sv-SE"/>
        </w:rPr>
        <w:t>Rangkang</w:t>
      </w:r>
      <w:proofErr w:type="spellEnd"/>
      <w:r w:rsidRPr="00AD7B58">
        <w:rPr>
          <w:rFonts w:cs="Segoe UI"/>
          <w:sz w:val="20"/>
          <w:szCs w:val="20"/>
          <w:lang w:val="sv-SE"/>
        </w:rPr>
        <w:t xml:space="preserve"> </w:t>
      </w:r>
      <w:proofErr w:type="spellStart"/>
      <w:r w:rsidRPr="00AD7B58">
        <w:rPr>
          <w:rFonts w:cs="Segoe UI"/>
          <w:sz w:val="20"/>
          <w:szCs w:val="20"/>
          <w:lang w:val="sv-SE"/>
        </w:rPr>
        <w:t>Education</w:t>
      </w:r>
      <w:proofErr w:type="spellEnd"/>
      <w:r w:rsidRPr="00AD7B58">
        <w:rPr>
          <w:rFonts w:cs="Segoe UI"/>
          <w:sz w:val="20"/>
          <w:szCs w:val="20"/>
          <w:lang w:val="sv-SE"/>
        </w:rPr>
        <w:t>.</w:t>
      </w:r>
    </w:p>
    <w:p w14:paraId="7BCA5ACB"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Lamintang</w:t>
      </w:r>
      <w:proofErr w:type="spellEnd"/>
      <w:r w:rsidRPr="00AD7B58">
        <w:rPr>
          <w:rFonts w:cs="Segoe UI"/>
          <w:sz w:val="20"/>
          <w:szCs w:val="20"/>
          <w:lang w:val="sv-SE"/>
        </w:rPr>
        <w:t xml:space="preserve">, P. A. F. (2013). </w:t>
      </w:r>
      <w:r w:rsidRPr="00AD7B58">
        <w:rPr>
          <w:rFonts w:cs="Segoe UI"/>
          <w:i/>
          <w:iCs/>
          <w:sz w:val="20"/>
          <w:szCs w:val="20"/>
          <w:lang w:val="sv-SE"/>
        </w:rPr>
        <w:t xml:space="preserve">Dasar-dasar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di Indonesia</w:t>
      </w:r>
      <w:r w:rsidRPr="00AD7B58">
        <w:rPr>
          <w:rFonts w:cs="Segoe UI"/>
          <w:sz w:val="20"/>
          <w:szCs w:val="20"/>
          <w:lang w:val="sv-SE"/>
        </w:rPr>
        <w:t xml:space="preserve">. </w:t>
      </w:r>
      <w:proofErr w:type="spellStart"/>
      <w:r w:rsidRPr="00AD7B58">
        <w:rPr>
          <w:rFonts w:cs="Segoe UI"/>
          <w:sz w:val="20"/>
          <w:szCs w:val="20"/>
          <w:lang w:val="sv-SE"/>
        </w:rPr>
        <w:t>Citra</w:t>
      </w:r>
      <w:proofErr w:type="spellEnd"/>
      <w:r w:rsidRPr="00AD7B58">
        <w:rPr>
          <w:rFonts w:cs="Segoe UI"/>
          <w:sz w:val="20"/>
          <w:szCs w:val="20"/>
          <w:lang w:val="sv-SE"/>
        </w:rPr>
        <w:t xml:space="preserve"> </w:t>
      </w:r>
      <w:proofErr w:type="spellStart"/>
      <w:r w:rsidRPr="00AD7B58">
        <w:rPr>
          <w:rFonts w:cs="Segoe UI"/>
          <w:sz w:val="20"/>
          <w:szCs w:val="20"/>
          <w:lang w:val="sv-SE"/>
        </w:rPr>
        <w:t>Aditya</w:t>
      </w:r>
      <w:proofErr w:type="spellEnd"/>
      <w:r w:rsidRPr="00AD7B58">
        <w:rPr>
          <w:rFonts w:cs="Segoe UI"/>
          <w:sz w:val="20"/>
          <w:szCs w:val="20"/>
          <w:lang w:val="sv-SE"/>
        </w:rPr>
        <w:t xml:space="preserve"> </w:t>
      </w:r>
      <w:proofErr w:type="spellStart"/>
      <w:r w:rsidRPr="00AD7B58">
        <w:rPr>
          <w:rFonts w:cs="Segoe UI"/>
          <w:sz w:val="20"/>
          <w:szCs w:val="20"/>
          <w:lang w:val="sv-SE"/>
        </w:rPr>
        <w:t>Bakti</w:t>
      </w:r>
      <w:proofErr w:type="spellEnd"/>
      <w:r w:rsidRPr="00AD7B58">
        <w:rPr>
          <w:rFonts w:cs="Segoe UI"/>
          <w:sz w:val="20"/>
          <w:szCs w:val="20"/>
          <w:lang w:val="sv-SE"/>
        </w:rPr>
        <w:t>.</w:t>
      </w:r>
    </w:p>
    <w:p w14:paraId="1D0A0BF8"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Moeljatno</w:t>
      </w:r>
      <w:proofErr w:type="spellEnd"/>
      <w:r w:rsidRPr="00AD7B58">
        <w:rPr>
          <w:rFonts w:cs="Segoe UI"/>
          <w:sz w:val="20"/>
          <w:szCs w:val="20"/>
          <w:lang w:val="sv-SE"/>
        </w:rPr>
        <w:t xml:space="preserve">. (2008). </w:t>
      </w:r>
      <w:r w:rsidRPr="00AD7B58">
        <w:rPr>
          <w:rFonts w:cs="Segoe UI"/>
          <w:i/>
          <w:iCs/>
          <w:sz w:val="20"/>
          <w:szCs w:val="20"/>
          <w:lang w:val="sv-SE"/>
        </w:rPr>
        <w:t xml:space="preserve">Asas-asas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sz w:val="20"/>
          <w:szCs w:val="20"/>
          <w:lang w:val="sv-SE"/>
        </w:rPr>
        <w:t xml:space="preserve">. </w:t>
      </w:r>
      <w:proofErr w:type="spellStart"/>
      <w:r w:rsidRPr="00AD7B58">
        <w:rPr>
          <w:rFonts w:cs="Segoe UI"/>
          <w:sz w:val="20"/>
          <w:szCs w:val="20"/>
          <w:lang w:val="sv-SE"/>
        </w:rPr>
        <w:t>Rineka</w:t>
      </w:r>
      <w:proofErr w:type="spellEnd"/>
      <w:r w:rsidRPr="00AD7B58">
        <w:rPr>
          <w:rFonts w:cs="Segoe UI"/>
          <w:sz w:val="20"/>
          <w:szCs w:val="20"/>
          <w:lang w:val="sv-SE"/>
        </w:rPr>
        <w:t xml:space="preserve"> </w:t>
      </w:r>
      <w:proofErr w:type="spellStart"/>
      <w:r w:rsidRPr="00AD7B58">
        <w:rPr>
          <w:rFonts w:cs="Segoe UI"/>
          <w:sz w:val="20"/>
          <w:szCs w:val="20"/>
          <w:lang w:val="sv-SE"/>
        </w:rPr>
        <w:t>Cipta</w:t>
      </w:r>
      <w:proofErr w:type="spellEnd"/>
      <w:r w:rsidRPr="00AD7B58">
        <w:rPr>
          <w:rFonts w:cs="Segoe UI"/>
          <w:sz w:val="20"/>
          <w:szCs w:val="20"/>
          <w:lang w:val="sv-SE"/>
        </w:rPr>
        <w:t>.</w:t>
      </w:r>
    </w:p>
    <w:p w14:paraId="2579E410"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Prasetyo</w:t>
      </w:r>
      <w:proofErr w:type="spellEnd"/>
      <w:r w:rsidRPr="00AD7B58">
        <w:rPr>
          <w:rFonts w:cs="Segoe UI"/>
          <w:sz w:val="20"/>
          <w:szCs w:val="20"/>
          <w:lang w:val="sv-SE"/>
        </w:rPr>
        <w:t xml:space="preserve">, T. (2011).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sz w:val="20"/>
          <w:szCs w:val="20"/>
          <w:lang w:val="sv-SE"/>
        </w:rPr>
        <w:t xml:space="preserve">. </w:t>
      </w:r>
      <w:proofErr w:type="spellStart"/>
      <w:r w:rsidRPr="00AD7B58">
        <w:rPr>
          <w:rFonts w:cs="Segoe UI"/>
          <w:sz w:val="20"/>
          <w:szCs w:val="20"/>
          <w:lang w:val="sv-SE"/>
        </w:rPr>
        <w:t>Rajawali</w:t>
      </w:r>
      <w:proofErr w:type="spellEnd"/>
      <w:r w:rsidRPr="00AD7B58">
        <w:rPr>
          <w:rFonts w:cs="Segoe UI"/>
          <w:sz w:val="20"/>
          <w:szCs w:val="20"/>
          <w:lang w:val="sv-SE"/>
        </w:rPr>
        <w:t xml:space="preserve"> Pers.</w:t>
      </w:r>
    </w:p>
    <w:p w14:paraId="502F11C7"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Rahardjo</w:t>
      </w:r>
      <w:proofErr w:type="spellEnd"/>
      <w:r w:rsidRPr="00AD7B58">
        <w:rPr>
          <w:rFonts w:cs="Segoe UI"/>
          <w:sz w:val="20"/>
          <w:szCs w:val="20"/>
          <w:lang w:val="sv-SE"/>
        </w:rPr>
        <w:t xml:space="preserve">, S. (2012). </w:t>
      </w:r>
      <w:proofErr w:type="spellStart"/>
      <w:r w:rsidRPr="00AD7B58">
        <w:rPr>
          <w:rFonts w:cs="Segoe UI"/>
          <w:i/>
          <w:iCs/>
          <w:sz w:val="20"/>
          <w:szCs w:val="20"/>
          <w:lang w:val="sv-SE"/>
        </w:rPr>
        <w:t>Ilmu</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sz w:val="20"/>
          <w:szCs w:val="20"/>
          <w:lang w:val="sv-SE"/>
        </w:rPr>
        <w:t xml:space="preserve">. </w:t>
      </w:r>
      <w:proofErr w:type="spellStart"/>
      <w:r w:rsidRPr="00AD7B58">
        <w:rPr>
          <w:rFonts w:cs="Segoe UI"/>
          <w:sz w:val="20"/>
          <w:szCs w:val="20"/>
          <w:lang w:val="sv-SE"/>
        </w:rPr>
        <w:t>Citra</w:t>
      </w:r>
      <w:proofErr w:type="spellEnd"/>
      <w:r w:rsidRPr="00AD7B58">
        <w:rPr>
          <w:rFonts w:cs="Segoe UI"/>
          <w:sz w:val="20"/>
          <w:szCs w:val="20"/>
          <w:lang w:val="sv-SE"/>
        </w:rPr>
        <w:t xml:space="preserve"> </w:t>
      </w:r>
      <w:proofErr w:type="spellStart"/>
      <w:r w:rsidRPr="00AD7B58">
        <w:rPr>
          <w:rFonts w:cs="Segoe UI"/>
          <w:sz w:val="20"/>
          <w:szCs w:val="20"/>
          <w:lang w:val="sv-SE"/>
        </w:rPr>
        <w:t>Aditya</w:t>
      </w:r>
      <w:proofErr w:type="spellEnd"/>
      <w:r w:rsidRPr="00AD7B58">
        <w:rPr>
          <w:rFonts w:cs="Segoe UI"/>
          <w:sz w:val="20"/>
          <w:szCs w:val="20"/>
          <w:lang w:val="sv-SE"/>
        </w:rPr>
        <w:t xml:space="preserve"> </w:t>
      </w:r>
      <w:proofErr w:type="spellStart"/>
      <w:r w:rsidRPr="00AD7B58">
        <w:rPr>
          <w:rFonts w:cs="Segoe UI"/>
          <w:sz w:val="20"/>
          <w:szCs w:val="20"/>
          <w:lang w:val="sv-SE"/>
        </w:rPr>
        <w:t>Bakti</w:t>
      </w:r>
      <w:proofErr w:type="spellEnd"/>
      <w:r w:rsidRPr="00AD7B58">
        <w:rPr>
          <w:rFonts w:cs="Segoe UI"/>
          <w:sz w:val="20"/>
          <w:szCs w:val="20"/>
          <w:lang w:val="sv-SE"/>
        </w:rPr>
        <w:t>.</w:t>
      </w:r>
    </w:p>
    <w:p w14:paraId="38C9E293"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AD7B58">
        <w:rPr>
          <w:rFonts w:cs="Segoe UI"/>
          <w:sz w:val="20"/>
          <w:szCs w:val="20"/>
          <w:lang w:val="sv-SE"/>
        </w:rPr>
        <w:t xml:space="preserve">Rawls, J. (2006). </w:t>
      </w:r>
      <w:r w:rsidRPr="00AD7B58">
        <w:rPr>
          <w:rFonts w:cs="Segoe UI"/>
          <w:i/>
          <w:iCs/>
          <w:sz w:val="20"/>
          <w:szCs w:val="20"/>
          <w:lang w:val="sv-SE"/>
        </w:rPr>
        <w:t xml:space="preserve">Teori </w:t>
      </w:r>
      <w:proofErr w:type="spellStart"/>
      <w:r w:rsidRPr="00AD7B58">
        <w:rPr>
          <w:rFonts w:cs="Segoe UI"/>
          <w:i/>
          <w:iCs/>
          <w:sz w:val="20"/>
          <w:szCs w:val="20"/>
          <w:lang w:val="sv-SE"/>
        </w:rPr>
        <w:t>keadilan</w:t>
      </w:r>
      <w:proofErr w:type="spellEnd"/>
      <w:r w:rsidRPr="00AD7B58">
        <w:rPr>
          <w:rFonts w:cs="Segoe UI"/>
          <w:sz w:val="20"/>
          <w:szCs w:val="20"/>
          <w:lang w:val="sv-SE"/>
        </w:rPr>
        <w:t xml:space="preserve"> (U. </w:t>
      </w:r>
      <w:proofErr w:type="spellStart"/>
      <w:r w:rsidRPr="00AD7B58">
        <w:rPr>
          <w:rFonts w:cs="Segoe UI"/>
          <w:sz w:val="20"/>
          <w:szCs w:val="20"/>
          <w:lang w:val="sv-SE"/>
        </w:rPr>
        <w:t>Fauzan</w:t>
      </w:r>
      <w:proofErr w:type="spellEnd"/>
      <w:r w:rsidRPr="00AD7B58">
        <w:rPr>
          <w:rFonts w:cs="Segoe UI"/>
          <w:sz w:val="20"/>
          <w:szCs w:val="20"/>
          <w:lang w:val="sv-SE"/>
        </w:rPr>
        <w:t xml:space="preserve"> &amp; H. </w:t>
      </w:r>
      <w:proofErr w:type="spellStart"/>
      <w:r w:rsidRPr="00AD7B58">
        <w:rPr>
          <w:rFonts w:cs="Segoe UI"/>
          <w:sz w:val="20"/>
          <w:szCs w:val="20"/>
          <w:lang w:val="sv-SE"/>
        </w:rPr>
        <w:t>Prasetyo</w:t>
      </w:r>
      <w:proofErr w:type="spellEnd"/>
      <w:r w:rsidRPr="00AD7B58">
        <w:rPr>
          <w:rFonts w:cs="Segoe UI"/>
          <w:sz w:val="20"/>
          <w:szCs w:val="20"/>
          <w:lang w:val="sv-SE"/>
        </w:rPr>
        <w:t xml:space="preserve">, Trans.). </w:t>
      </w:r>
      <w:proofErr w:type="spellStart"/>
      <w:r w:rsidRPr="00AD7B58">
        <w:rPr>
          <w:rFonts w:cs="Segoe UI"/>
          <w:sz w:val="20"/>
          <w:szCs w:val="20"/>
          <w:lang w:val="sv-SE"/>
        </w:rPr>
        <w:t>Pustaka</w:t>
      </w:r>
      <w:proofErr w:type="spellEnd"/>
      <w:r w:rsidRPr="00AD7B58">
        <w:rPr>
          <w:rFonts w:cs="Segoe UI"/>
          <w:sz w:val="20"/>
          <w:szCs w:val="20"/>
          <w:lang w:val="sv-SE"/>
        </w:rPr>
        <w:t xml:space="preserve"> </w:t>
      </w:r>
      <w:proofErr w:type="spellStart"/>
      <w:r w:rsidRPr="00AD7B58">
        <w:rPr>
          <w:rFonts w:cs="Segoe UI"/>
          <w:sz w:val="20"/>
          <w:szCs w:val="20"/>
          <w:lang w:val="sv-SE"/>
        </w:rPr>
        <w:t>Pelajar</w:t>
      </w:r>
      <w:proofErr w:type="spellEnd"/>
      <w:r w:rsidRPr="00AD7B58">
        <w:rPr>
          <w:rFonts w:cs="Segoe UI"/>
          <w:sz w:val="20"/>
          <w:szCs w:val="20"/>
          <w:lang w:val="sv-SE"/>
        </w:rPr>
        <w:t xml:space="preserve">. </w:t>
      </w:r>
      <w:r w:rsidRPr="00AD7B58">
        <w:rPr>
          <w:rFonts w:cs="Segoe UI"/>
          <w:sz w:val="20"/>
          <w:szCs w:val="20"/>
          <w:lang w:val="en-ID"/>
        </w:rPr>
        <w:t>(Original work published 1973).</w:t>
      </w:r>
    </w:p>
    <w:p w14:paraId="3405EEBB"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AD7B58">
        <w:rPr>
          <w:rFonts w:cs="Segoe UI"/>
          <w:sz w:val="20"/>
          <w:szCs w:val="20"/>
          <w:lang w:val="en-ID"/>
        </w:rPr>
        <w:t xml:space="preserve">Salman, H. R. O. (2010). </w:t>
      </w:r>
      <w:proofErr w:type="spellStart"/>
      <w:r w:rsidRPr="00AD7B58">
        <w:rPr>
          <w:rFonts w:cs="Segoe UI"/>
          <w:i/>
          <w:iCs/>
          <w:sz w:val="20"/>
          <w:szCs w:val="20"/>
          <w:lang w:val="en-ID"/>
        </w:rPr>
        <w:t>Filsafat</w:t>
      </w:r>
      <w:proofErr w:type="spellEnd"/>
      <w:r w:rsidRPr="00AD7B58">
        <w:rPr>
          <w:rFonts w:cs="Segoe UI"/>
          <w:i/>
          <w:iCs/>
          <w:sz w:val="20"/>
          <w:szCs w:val="20"/>
          <w:lang w:val="en-ID"/>
        </w:rPr>
        <w:t xml:space="preserve"> </w:t>
      </w:r>
      <w:proofErr w:type="spellStart"/>
      <w:r w:rsidRPr="00AD7B58">
        <w:rPr>
          <w:rFonts w:cs="Segoe UI"/>
          <w:i/>
          <w:iCs/>
          <w:sz w:val="20"/>
          <w:szCs w:val="20"/>
          <w:lang w:val="en-ID"/>
        </w:rPr>
        <w:t>hukum</w:t>
      </w:r>
      <w:proofErr w:type="spellEnd"/>
      <w:r w:rsidRPr="00AD7B58">
        <w:rPr>
          <w:rFonts w:cs="Segoe UI"/>
          <w:i/>
          <w:iCs/>
          <w:sz w:val="20"/>
          <w:szCs w:val="20"/>
          <w:lang w:val="en-ID"/>
        </w:rPr>
        <w:t xml:space="preserve">: </w:t>
      </w:r>
      <w:proofErr w:type="spellStart"/>
      <w:r w:rsidRPr="00AD7B58">
        <w:rPr>
          <w:rFonts w:cs="Segoe UI"/>
          <w:i/>
          <w:iCs/>
          <w:sz w:val="20"/>
          <w:szCs w:val="20"/>
          <w:lang w:val="en-ID"/>
        </w:rPr>
        <w:t>Perkembangan</w:t>
      </w:r>
      <w:proofErr w:type="spellEnd"/>
      <w:r w:rsidRPr="00AD7B58">
        <w:rPr>
          <w:rFonts w:cs="Segoe UI"/>
          <w:i/>
          <w:iCs/>
          <w:sz w:val="20"/>
          <w:szCs w:val="20"/>
          <w:lang w:val="en-ID"/>
        </w:rPr>
        <w:t xml:space="preserve"> dan </w:t>
      </w:r>
      <w:proofErr w:type="spellStart"/>
      <w:r w:rsidRPr="00AD7B58">
        <w:rPr>
          <w:rFonts w:cs="Segoe UI"/>
          <w:i/>
          <w:iCs/>
          <w:sz w:val="20"/>
          <w:szCs w:val="20"/>
          <w:lang w:val="en-ID"/>
        </w:rPr>
        <w:t>dinamika</w:t>
      </w:r>
      <w:proofErr w:type="spellEnd"/>
      <w:r w:rsidRPr="00AD7B58">
        <w:rPr>
          <w:rFonts w:cs="Segoe UI"/>
          <w:i/>
          <w:iCs/>
          <w:sz w:val="20"/>
          <w:szCs w:val="20"/>
          <w:lang w:val="en-ID"/>
        </w:rPr>
        <w:t xml:space="preserve"> </w:t>
      </w:r>
      <w:proofErr w:type="spellStart"/>
      <w:r w:rsidRPr="00AD7B58">
        <w:rPr>
          <w:rFonts w:cs="Segoe UI"/>
          <w:i/>
          <w:iCs/>
          <w:sz w:val="20"/>
          <w:szCs w:val="20"/>
          <w:lang w:val="en-ID"/>
        </w:rPr>
        <w:t>masalah</w:t>
      </w:r>
      <w:proofErr w:type="spellEnd"/>
      <w:r w:rsidRPr="00AD7B58">
        <w:rPr>
          <w:rFonts w:cs="Segoe UI"/>
          <w:sz w:val="20"/>
          <w:szCs w:val="20"/>
          <w:lang w:val="en-ID"/>
        </w:rPr>
        <w:t xml:space="preserve">. </w:t>
      </w:r>
      <w:proofErr w:type="spellStart"/>
      <w:r w:rsidRPr="00AD7B58">
        <w:rPr>
          <w:rFonts w:cs="Segoe UI"/>
          <w:sz w:val="20"/>
          <w:szCs w:val="20"/>
          <w:lang w:val="sv-SE"/>
        </w:rPr>
        <w:t>Refika</w:t>
      </w:r>
      <w:proofErr w:type="spellEnd"/>
      <w:r w:rsidRPr="00AD7B58">
        <w:rPr>
          <w:rFonts w:cs="Segoe UI"/>
          <w:sz w:val="20"/>
          <w:szCs w:val="20"/>
          <w:lang w:val="sv-SE"/>
        </w:rPr>
        <w:t xml:space="preserve"> </w:t>
      </w:r>
      <w:proofErr w:type="spellStart"/>
      <w:r w:rsidRPr="00AD7B58">
        <w:rPr>
          <w:rFonts w:cs="Segoe UI"/>
          <w:sz w:val="20"/>
          <w:szCs w:val="20"/>
          <w:lang w:val="sv-SE"/>
        </w:rPr>
        <w:t>Aditama</w:t>
      </w:r>
      <w:proofErr w:type="spellEnd"/>
      <w:r w:rsidRPr="00AD7B58">
        <w:rPr>
          <w:rFonts w:cs="Segoe UI"/>
          <w:sz w:val="20"/>
          <w:szCs w:val="20"/>
          <w:lang w:val="sv-SE"/>
        </w:rPr>
        <w:t>.</w:t>
      </w:r>
    </w:p>
    <w:p w14:paraId="62A440CA"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Sahetapy</w:t>
      </w:r>
      <w:proofErr w:type="spellEnd"/>
      <w:r w:rsidRPr="00AD7B58">
        <w:rPr>
          <w:rFonts w:cs="Segoe UI"/>
          <w:sz w:val="20"/>
          <w:szCs w:val="20"/>
          <w:lang w:val="sv-SE"/>
        </w:rPr>
        <w:t xml:space="preserve">, J. E. (1987). </w:t>
      </w:r>
      <w:proofErr w:type="spellStart"/>
      <w:r w:rsidRPr="00AD7B58">
        <w:rPr>
          <w:rFonts w:cs="Segoe UI"/>
          <w:i/>
          <w:iCs/>
          <w:sz w:val="20"/>
          <w:szCs w:val="20"/>
          <w:lang w:val="sv-SE"/>
        </w:rPr>
        <w:t>Victimologi</w:t>
      </w:r>
      <w:proofErr w:type="spellEnd"/>
      <w:r w:rsidRPr="00AD7B58">
        <w:rPr>
          <w:rFonts w:cs="Segoe UI"/>
          <w:i/>
          <w:iCs/>
          <w:sz w:val="20"/>
          <w:szCs w:val="20"/>
          <w:lang w:val="sv-SE"/>
        </w:rPr>
        <w:t xml:space="preserve">: </w:t>
      </w:r>
      <w:proofErr w:type="spellStart"/>
      <w:r w:rsidRPr="00AD7B58">
        <w:rPr>
          <w:rFonts w:cs="Segoe UI"/>
          <w:i/>
          <w:iCs/>
          <w:sz w:val="20"/>
          <w:szCs w:val="20"/>
          <w:lang w:val="sv-SE"/>
        </w:rPr>
        <w:t>Sebuah</w:t>
      </w:r>
      <w:proofErr w:type="spellEnd"/>
      <w:r w:rsidRPr="00AD7B58">
        <w:rPr>
          <w:rFonts w:cs="Segoe UI"/>
          <w:i/>
          <w:iCs/>
          <w:sz w:val="20"/>
          <w:szCs w:val="20"/>
          <w:lang w:val="sv-SE"/>
        </w:rPr>
        <w:t xml:space="preserve"> </w:t>
      </w:r>
      <w:proofErr w:type="spellStart"/>
      <w:r w:rsidRPr="00AD7B58">
        <w:rPr>
          <w:rFonts w:cs="Segoe UI"/>
          <w:i/>
          <w:iCs/>
          <w:sz w:val="20"/>
          <w:szCs w:val="20"/>
          <w:lang w:val="sv-SE"/>
        </w:rPr>
        <w:t>bunga</w:t>
      </w:r>
      <w:proofErr w:type="spellEnd"/>
      <w:r w:rsidRPr="00AD7B58">
        <w:rPr>
          <w:rFonts w:cs="Segoe UI"/>
          <w:i/>
          <w:iCs/>
          <w:sz w:val="20"/>
          <w:szCs w:val="20"/>
          <w:lang w:val="sv-SE"/>
        </w:rPr>
        <w:t xml:space="preserve"> </w:t>
      </w:r>
      <w:proofErr w:type="spellStart"/>
      <w:r w:rsidRPr="00AD7B58">
        <w:rPr>
          <w:rFonts w:cs="Segoe UI"/>
          <w:i/>
          <w:iCs/>
          <w:sz w:val="20"/>
          <w:szCs w:val="20"/>
          <w:lang w:val="sv-SE"/>
        </w:rPr>
        <w:t>rampai</w:t>
      </w:r>
      <w:proofErr w:type="spellEnd"/>
      <w:r w:rsidRPr="00AD7B58">
        <w:rPr>
          <w:rFonts w:cs="Segoe UI"/>
          <w:sz w:val="20"/>
          <w:szCs w:val="20"/>
          <w:lang w:val="sv-SE"/>
        </w:rPr>
        <w:t xml:space="preserve">. </w:t>
      </w:r>
      <w:proofErr w:type="spellStart"/>
      <w:r w:rsidRPr="00AD7B58">
        <w:rPr>
          <w:rFonts w:cs="Segoe UI"/>
          <w:sz w:val="20"/>
          <w:szCs w:val="20"/>
          <w:lang w:val="sv-SE"/>
        </w:rPr>
        <w:t>Pustaka</w:t>
      </w:r>
      <w:proofErr w:type="spellEnd"/>
      <w:r w:rsidRPr="00AD7B58">
        <w:rPr>
          <w:rFonts w:cs="Segoe UI"/>
          <w:sz w:val="20"/>
          <w:szCs w:val="20"/>
          <w:lang w:val="sv-SE"/>
        </w:rPr>
        <w:t xml:space="preserve"> Sinar </w:t>
      </w:r>
      <w:proofErr w:type="spellStart"/>
      <w:r w:rsidRPr="00AD7B58">
        <w:rPr>
          <w:rFonts w:cs="Segoe UI"/>
          <w:sz w:val="20"/>
          <w:szCs w:val="20"/>
          <w:lang w:val="sv-SE"/>
        </w:rPr>
        <w:t>Harapan</w:t>
      </w:r>
      <w:proofErr w:type="spellEnd"/>
      <w:r w:rsidRPr="00AD7B58">
        <w:rPr>
          <w:rFonts w:cs="Segoe UI"/>
          <w:sz w:val="20"/>
          <w:szCs w:val="20"/>
          <w:lang w:val="sv-SE"/>
        </w:rPr>
        <w:t>.</w:t>
      </w:r>
    </w:p>
    <w:p w14:paraId="525682D0"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Sidharta</w:t>
      </w:r>
      <w:proofErr w:type="spellEnd"/>
      <w:r w:rsidRPr="00AD7B58">
        <w:rPr>
          <w:rFonts w:cs="Segoe UI"/>
          <w:sz w:val="20"/>
          <w:szCs w:val="20"/>
          <w:lang w:val="sv-SE"/>
        </w:rPr>
        <w:t xml:space="preserve">, A., &amp; </w:t>
      </w:r>
      <w:proofErr w:type="spellStart"/>
      <w:r w:rsidRPr="00AD7B58">
        <w:rPr>
          <w:rFonts w:cs="Segoe UI"/>
          <w:sz w:val="20"/>
          <w:szCs w:val="20"/>
          <w:lang w:val="sv-SE"/>
        </w:rPr>
        <w:t>Meuwissen</w:t>
      </w:r>
      <w:proofErr w:type="spellEnd"/>
      <w:r w:rsidRPr="00AD7B58">
        <w:rPr>
          <w:rFonts w:cs="Segoe UI"/>
          <w:sz w:val="20"/>
          <w:szCs w:val="20"/>
          <w:lang w:val="sv-SE"/>
        </w:rPr>
        <w:t xml:space="preserve">. (2007). </w:t>
      </w:r>
      <w:proofErr w:type="spellStart"/>
      <w:r w:rsidRPr="00AD7B58">
        <w:rPr>
          <w:rFonts w:cs="Segoe UI"/>
          <w:i/>
          <w:iCs/>
          <w:sz w:val="20"/>
          <w:szCs w:val="20"/>
          <w:lang w:val="sv-SE"/>
        </w:rPr>
        <w:t>Pengembanan</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ilmu</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teori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dan </w:t>
      </w:r>
      <w:proofErr w:type="spellStart"/>
      <w:r w:rsidRPr="00AD7B58">
        <w:rPr>
          <w:rFonts w:cs="Segoe UI"/>
          <w:i/>
          <w:iCs/>
          <w:sz w:val="20"/>
          <w:szCs w:val="20"/>
          <w:lang w:val="sv-SE"/>
        </w:rPr>
        <w:t>filsafat</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sz w:val="20"/>
          <w:szCs w:val="20"/>
          <w:lang w:val="sv-SE"/>
        </w:rPr>
        <w:t xml:space="preserve">. </w:t>
      </w:r>
      <w:proofErr w:type="spellStart"/>
      <w:r w:rsidRPr="00AD7B58">
        <w:rPr>
          <w:rFonts w:cs="Segoe UI"/>
          <w:sz w:val="20"/>
          <w:szCs w:val="20"/>
          <w:lang w:val="sv-SE"/>
        </w:rPr>
        <w:t>Refika</w:t>
      </w:r>
      <w:proofErr w:type="spellEnd"/>
      <w:r w:rsidRPr="00AD7B58">
        <w:rPr>
          <w:rFonts w:cs="Segoe UI"/>
          <w:sz w:val="20"/>
          <w:szCs w:val="20"/>
          <w:lang w:val="sv-SE"/>
        </w:rPr>
        <w:t xml:space="preserve"> </w:t>
      </w:r>
      <w:proofErr w:type="spellStart"/>
      <w:r w:rsidRPr="00AD7B58">
        <w:rPr>
          <w:rFonts w:cs="Segoe UI"/>
          <w:sz w:val="20"/>
          <w:szCs w:val="20"/>
          <w:lang w:val="sv-SE"/>
        </w:rPr>
        <w:t>Aditama</w:t>
      </w:r>
      <w:proofErr w:type="spellEnd"/>
      <w:r w:rsidRPr="00AD7B58">
        <w:rPr>
          <w:rFonts w:cs="Segoe UI"/>
          <w:sz w:val="20"/>
          <w:szCs w:val="20"/>
          <w:lang w:val="sv-SE"/>
        </w:rPr>
        <w:t>.</w:t>
      </w:r>
    </w:p>
    <w:p w14:paraId="5BE541F3"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Soesilo</w:t>
      </w:r>
      <w:proofErr w:type="spellEnd"/>
      <w:r w:rsidRPr="00AD7B58">
        <w:rPr>
          <w:rFonts w:cs="Segoe UI"/>
          <w:sz w:val="20"/>
          <w:szCs w:val="20"/>
          <w:lang w:val="sv-SE"/>
        </w:rPr>
        <w:t xml:space="preserve">, R. (2010). </w:t>
      </w:r>
      <w:r w:rsidRPr="00AD7B58">
        <w:rPr>
          <w:rFonts w:cs="Segoe UI"/>
          <w:i/>
          <w:iCs/>
          <w:sz w:val="20"/>
          <w:szCs w:val="20"/>
          <w:lang w:val="sv-SE"/>
        </w:rPr>
        <w:t>Kriminologi</w:t>
      </w:r>
      <w:r w:rsidRPr="00AD7B58">
        <w:rPr>
          <w:rFonts w:cs="Segoe UI"/>
          <w:sz w:val="20"/>
          <w:szCs w:val="20"/>
          <w:lang w:val="sv-SE"/>
        </w:rPr>
        <w:t xml:space="preserve">. </w:t>
      </w:r>
      <w:proofErr w:type="spellStart"/>
      <w:r w:rsidRPr="00AD7B58">
        <w:rPr>
          <w:rFonts w:cs="Segoe UI"/>
          <w:sz w:val="20"/>
          <w:szCs w:val="20"/>
          <w:lang w:val="sv-SE"/>
        </w:rPr>
        <w:t>Politeia</w:t>
      </w:r>
      <w:proofErr w:type="spellEnd"/>
      <w:r w:rsidRPr="00AD7B58">
        <w:rPr>
          <w:rFonts w:cs="Segoe UI"/>
          <w:sz w:val="20"/>
          <w:szCs w:val="20"/>
          <w:lang w:val="sv-SE"/>
        </w:rPr>
        <w:t>.</w:t>
      </w:r>
    </w:p>
    <w:p w14:paraId="051FDFB2"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Sudarto</w:t>
      </w:r>
      <w:proofErr w:type="spellEnd"/>
      <w:r w:rsidRPr="00AD7B58">
        <w:rPr>
          <w:rFonts w:cs="Segoe UI"/>
          <w:sz w:val="20"/>
          <w:szCs w:val="20"/>
          <w:lang w:val="sv-SE"/>
        </w:rPr>
        <w:t xml:space="preserve">. (1986).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I</w:t>
      </w:r>
      <w:r w:rsidRPr="00AD7B58">
        <w:rPr>
          <w:rFonts w:cs="Segoe UI"/>
          <w:sz w:val="20"/>
          <w:szCs w:val="20"/>
          <w:lang w:val="sv-SE"/>
        </w:rPr>
        <w:t xml:space="preserve">. </w:t>
      </w:r>
      <w:proofErr w:type="spellStart"/>
      <w:r w:rsidRPr="00AD7B58">
        <w:rPr>
          <w:rFonts w:cs="Segoe UI"/>
          <w:sz w:val="20"/>
          <w:szCs w:val="20"/>
          <w:lang w:val="sv-SE"/>
        </w:rPr>
        <w:t>Yayasan</w:t>
      </w:r>
      <w:proofErr w:type="spellEnd"/>
      <w:r w:rsidRPr="00AD7B58">
        <w:rPr>
          <w:rFonts w:cs="Segoe UI"/>
          <w:sz w:val="20"/>
          <w:szCs w:val="20"/>
          <w:lang w:val="sv-SE"/>
        </w:rPr>
        <w:t xml:space="preserve"> </w:t>
      </w:r>
      <w:proofErr w:type="spellStart"/>
      <w:r w:rsidRPr="00AD7B58">
        <w:rPr>
          <w:rFonts w:cs="Segoe UI"/>
          <w:sz w:val="20"/>
          <w:szCs w:val="20"/>
          <w:lang w:val="sv-SE"/>
        </w:rPr>
        <w:t>Sudarto</w:t>
      </w:r>
      <w:proofErr w:type="spellEnd"/>
      <w:r w:rsidRPr="00AD7B58">
        <w:rPr>
          <w:rFonts w:cs="Segoe UI"/>
          <w:sz w:val="20"/>
          <w:szCs w:val="20"/>
          <w:lang w:val="sv-SE"/>
        </w:rPr>
        <w:t xml:space="preserve"> d/a </w:t>
      </w:r>
      <w:proofErr w:type="spellStart"/>
      <w:r w:rsidRPr="00AD7B58">
        <w:rPr>
          <w:rFonts w:cs="Segoe UI"/>
          <w:sz w:val="20"/>
          <w:szCs w:val="20"/>
          <w:lang w:val="sv-SE"/>
        </w:rPr>
        <w:t>Fakultas</w:t>
      </w:r>
      <w:proofErr w:type="spellEnd"/>
      <w:r w:rsidRPr="00AD7B58">
        <w:rPr>
          <w:rFonts w:cs="Segoe UI"/>
          <w:sz w:val="20"/>
          <w:szCs w:val="20"/>
          <w:lang w:val="sv-SE"/>
        </w:rPr>
        <w:t xml:space="preserve"> </w:t>
      </w:r>
      <w:proofErr w:type="spellStart"/>
      <w:r w:rsidRPr="00AD7B58">
        <w:rPr>
          <w:rFonts w:cs="Segoe UI"/>
          <w:sz w:val="20"/>
          <w:szCs w:val="20"/>
          <w:lang w:val="sv-SE"/>
        </w:rPr>
        <w:t>Hukum</w:t>
      </w:r>
      <w:proofErr w:type="spellEnd"/>
      <w:r w:rsidRPr="00AD7B58">
        <w:rPr>
          <w:rFonts w:cs="Segoe UI"/>
          <w:sz w:val="20"/>
          <w:szCs w:val="20"/>
          <w:lang w:val="sv-SE"/>
        </w:rPr>
        <w:t xml:space="preserve"> </w:t>
      </w:r>
      <w:proofErr w:type="spellStart"/>
      <w:r w:rsidRPr="00AD7B58">
        <w:rPr>
          <w:rFonts w:cs="Segoe UI"/>
          <w:sz w:val="20"/>
          <w:szCs w:val="20"/>
          <w:lang w:val="sv-SE"/>
        </w:rPr>
        <w:t>Undip</w:t>
      </w:r>
      <w:proofErr w:type="spellEnd"/>
      <w:r w:rsidRPr="00AD7B58">
        <w:rPr>
          <w:rFonts w:cs="Segoe UI"/>
          <w:sz w:val="20"/>
          <w:szCs w:val="20"/>
          <w:lang w:val="sv-SE"/>
        </w:rPr>
        <w:t>.</w:t>
      </w:r>
    </w:p>
    <w:p w14:paraId="32D57007"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Suyanto</w:t>
      </w:r>
      <w:proofErr w:type="spellEnd"/>
      <w:r w:rsidRPr="00AD7B58">
        <w:rPr>
          <w:rFonts w:cs="Segoe UI"/>
          <w:sz w:val="20"/>
          <w:szCs w:val="20"/>
          <w:lang w:val="sv-SE"/>
        </w:rPr>
        <w:t xml:space="preserve">. (2018). </w:t>
      </w:r>
      <w:proofErr w:type="spellStart"/>
      <w:r w:rsidRPr="00AD7B58">
        <w:rPr>
          <w:rFonts w:cs="Segoe UI"/>
          <w:i/>
          <w:iCs/>
          <w:sz w:val="20"/>
          <w:szCs w:val="20"/>
          <w:lang w:val="sv-SE"/>
        </w:rPr>
        <w:t>Pengantar</w:t>
      </w:r>
      <w:proofErr w:type="spellEnd"/>
      <w:r w:rsidRPr="00AD7B58">
        <w:rPr>
          <w:rFonts w:cs="Segoe UI"/>
          <w:i/>
          <w:iCs/>
          <w:sz w:val="20"/>
          <w:szCs w:val="20"/>
          <w:lang w:val="sv-SE"/>
        </w:rPr>
        <w:t xml:space="preserve">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sz w:val="20"/>
          <w:szCs w:val="20"/>
          <w:lang w:val="sv-SE"/>
        </w:rPr>
        <w:t xml:space="preserve">. </w:t>
      </w:r>
      <w:proofErr w:type="spellStart"/>
      <w:r w:rsidRPr="00AD7B58">
        <w:rPr>
          <w:rFonts w:cs="Segoe UI"/>
          <w:sz w:val="20"/>
          <w:szCs w:val="20"/>
          <w:lang w:val="sv-SE"/>
        </w:rPr>
        <w:t>Deepublish</w:t>
      </w:r>
      <w:proofErr w:type="spellEnd"/>
      <w:r w:rsidRPr="00AD7B58">
        <w:rPr>
          <w:rFonts w:cs="Segoe UI"/>
          <w:sz w:val="20"/>
          <w:szCs w:val="20"/>
          <w:lang w:val="sv-SE"/>
        </w:rPr>
        <w:t>.</w:t>
      </w:r>
    </w:p>
    <w:p w14:paraId="41379782"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AD7B58">
        <w:rPr>
          <w:rFonts w:cs="Segoe UI"/>
          <w:sz w:val="20"/>
          <w:szCs w:val="20"/>
          <w:lang w:val="sv-SE"/>
        </w:rPr>
        <w:t>Tanya</w:t>
      </w:r>
      <w:proofErr w:type="spellEnd"/>
      <w:r w:rsidRPr="00AD7B58">
        <w:rPr>
          <w:rFonts w:cs="Segoe UI"/>
          <w:sz w:val="20"/>
          <w:szCs w:val="20"/>
          <w:lang w:val="sv-SE"/>
        </w:rPr>
        <w:t xml:space="preserve">, B. L., et al. (2013). </w:t>
      </w:r>
      <w:r w:rsidRPr="00AD7B58">
        <w:rPr>
          <w:rFonts w:cs="Segoe UI"/>
          <w:i/>
          <w:iCs/>
          <w:sz w:val="20"/>
          <w:szCs w:val="20"/>
          <w:lang w:val="sv-SE"/>
        </w:rPr>
        <w:t xml:space="preserve">Teori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Strategi </w:t>
      </w:r>
      <w:proofErr w:type="spellStart"/>
      <w:r w:rsidRPr="00AD7B58">
        <w:rPr>
          <w:rFonts w:cs="Segoe UI"/>
          <w:i/>
          <w:iCs/>
          <w:sz w:val="20"/>
          <w:szCs w:val="20"/>
          <w:lang w:val="sv-SE"/>
        </w:rPr>
        <w:t>tertib</w:t>
      </w:r>
      <w:proofErr w:type="spellEnd"/>
      <w:r w:rsidRPr="00AD7B58">
        <w:rPr>
          <w:rFonts w:cs="Segoe UI"/>
          <w:i/>
          <w:iCs/>
          <w:sz w:val="20"/>
          <w:szCs w:val="20"/>
          <w:lang w:val="sv-SE"/>
        </w:rPr>
        <w:t xml:space="preserve"> </w:t>
      </w:r>
      <w:proofErr w:type="spellStart"/>
      <w:r w:rsidRPr="00AD7B58">
        <w:rPr>
          <w:rFonts w:cs="Segoe UI"/>
          <w:i/>
          <w:iCs/>
          <w:sz w:val="20"/>
          <w:szCs w:val="20"/>
          <w:lang w:val="sv-SE"/>
        </w:rPr>
        <w:t>manusia</w:t>
      </w:r>
      <w:proofErr w:type="spellEnd"/>
      <w:r w:rsidRPr="00AD7B58">
        <w:rPr>
          <w:rFonts w:cs="Segoe UI"/>
          <w:i/>
          <w:iCs/>
          <w:sz w:val="20"/>
          <w:szCs w:val="20"/>
          <w:lang w:val="sv-SE"/>
        </w:rPr>
        <w:t xml:space="preserve"> </w:t>
      </w:r>
      <w:proofErr w:type="spellStart"/>
      <w:r w:rsidRPr="00AD7B58">
        <w:rPr>
          <w:rFonts w:cs="Segoe UI"/>
          <w:i/>
          <w:iCs/>
          <w:sz w:val="20"/>
          <w:szCs w:val="20"/>
          <w:lang w:val="sv-SE"/>
        </w:rPr>
        <w:t>lintas</w:t>
      </w:r>
      <w:proofErr w:type="spellEnd"/>
      <w:r w:rsidRPr="00AD7B58">
        <w:rPr>
          <w:rFonts w:cs="Segoe UI"/>
          <w:i/>
          <w:iCs/>
          <w:sz w:val="20"/>
          <w:szCs w:val="20"/>
          <w:lang w:val="sv-SE"/>
        </w:rPr>
        <w:t xml:space="preserve"> </w:t>
      </w:r>
      <w:proofErr w:type="spellStart"/>
      <w:r w:rsidRPr="00AD7B58">
        <w:rPr>
          <w:rFonts w:cs="Segoe UI"/>
          <w:i/>
          <w:iCs/>
          <w:sz w:val="20"/>
          <w:szCs w:val="20"/>
          <w:lang w:val="sv-SE"/>
        </w:rPr>
        <w:t>ruang</w:t>
      </w:r>
      <w:proofErr w:type="spellEnd"/>
      <w:r w:rsidRPr="00AD7B58">
        <w:rPr>
          <w:rFonts w:cs="Segoe UI"/>
          <w:i/>
          <w:iCs/>
          <w:sz w:val="20"/>
          <w:szCs w:val="20"/>
          <w:lang w:val="sv-SE"/>
        </w:rPr>
        <w:t xml:space="preserve"> dan </w:t>
      </w:r>
      <w:proofErr w:type="spellStart"/>
      <w:r w:rsidRPr="00AD7B58">
        <w:rPr>
          <w:rFonts w:cs="Segoe UI"/>
          <w:i/>
          <w:iCs/>
          <w:sz w:val="20"/>
          <w:szCs w:val="20"/>
          <w:lang w:val="sv-SE"/>
        </w:rPr>
        <w:t>generasi</w:t>
      </w:r>
      <w:proofErr w:type="spellEnd"/>
      <w:r w:rsidRPr="00AD7B58">
        <w:rPr>
          <w:rFonts w:cs="Segoe UI"/>
          <w:sz w:val="20"/>
          <w:szCs w:val="20"/>
          <w:lang w:val="sv-SE"/>
        </w:rPr>
        <w:t>. Genta Publishing.</w:t>
      </w:r>
    </w:p>
    <w:p w14:paraId="0CBC1D56"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AD7B58">
        <w:rPr>
          <w:rFonts w:cs="Segoe UI"/>
          <w:sz w:val="20"/>
          <w:szCs w:val="20"/>
          <w:lang w:val="sv-SE"/>
        </w:rPr>
        <w:t>Tongat</w:t>
      </w:r>
      <w:proofErr w:type="spellEnd"/>
      <w:r w:rsidRPr="00AD7B58">
        <w:rPr>
          <w:rFonts w:cs="Segoe UI"/>
          <w:sz w:val="20"/>
          <w:szCs w:val="20"/>
          <w:lang w:val="sv-SE"/>
        </w:rPr>
        <w:t xml:space="preserve">. (2012). </w:t>
      </w:r>
      <w:r w:rsidRPr="00AD7B58">
        <w:rPr>
          <w:rFonts w:cs="Segoe UI"/>
          <w:i/>
          <w:iCs/>
          <w:sz w:val="20"/>
          <w:szCs w:val="20"/>
          <w:lang w:val="sv-SE"/>
        </w:rPr>
        <w:t xml:space="preserve">Dasar-dasar </w:t>
      </w:r>
      <w:proofErr w:type="spellStart"/>
      <w:r w:rsidRPr="00AD7B58">
        <w:rPr>
          <w:rFonts w:cs="Segoe UI"/>
          <w:i/>
          <w:iCs/>
          <w:sz w:val="20"/>
          <w:szCs w:val="20"/>
          <w:lang w:val="sv-SE"/>
        </w:rPr>
        <w:t>hukum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pidana</w:t>
      </w:r>
      <w:proofErr w:type="spellEnd"/>
      <w:r w:rsidRPr="00AD7B58">
        <w:rPr>
          <w:rFonts w:cs="Segoe UI"/>
          <w:i/>
          <w:iCs/>
          <w:sz w:val="20"/>
          <w:szCs w:val="20"/>
          <w:lang w:val="sv-SE"/>
        </w:rPr>
        <w:t xml:space="preserve"> Indonesia </w:t>
      </w:r>
      <w:proofErr w:type="spellStart"/>
      <w:r w:rsidRPr="00AD7B58">
        <w:rPr>
          <w:rFonts w:cs="Segoe UI"/>
          <w:i/>
          <w:iCs/>
          <w:sz w:val="20"/>
          <w:szCs w:val="20"/>
          <w:lang w:val="sv-SE"/>
        </w:rPr>
        <w:t>dalam</w:t>
      </w:r>
      <w:proofErr w:type="spellEnd"/>
      <w:r w:rsidRPr="00AD7B58">
        <w:rPr>
          <w:rFonts w:cs="Segoe UI"/>
          <w:i/>
          <w:iCs/>
          <w:sz w:val="20"/>
          <w:szCs w:val="20"/>
          <w:lang w:val="sv-SE"/>
        </w:rPr>
        <w:t xml:space="preserve"> </w:t>
      </w:r>
      <w:proofErr w:type="spellStart"/>
      <w:r w:rsidRPr="00AD7B58">
        <w:rPr>
          <w:rFonts w:cs="Segoe UI"/>
          <w:i/>
          <w:iCs/>
          <w:sz w:val="20"/>
          <w:szCs w:val="20"/>
          <w:lang w:val="sv-SE"/>
        </w:rPr>
        <w:t>perspektif</w:t>
      </w:r>
      <w:proofErr w:type="spellEnd"/>
      <w:r w:rsidRPr="00AD7B58">
        <w:rPr>
          <w:rFonts w:cs="Segoe UI"/>
          <w:i/>
          <w:iCs/>
          <w:sz w:val="20"/>
          <w:szCs w:val="20"/>
          <w:lang w:val="sv-SE"/>
        </w:rPr>
        <w:t xml:space="preserve"> </w:t>
      </w:r>
      <w:proofErr w:type="spellStart"/>
      <w:r w:rsidRPr="00AD7B58">
        <w:rPr>
          <w:rFonts w:cs="Segoe UI"/>
          <w:i/>
          <w:iCs/>
          <w:sz w:val="20"/>
          <w:szCs w:val="20"/>
          <w:lang w:val="sv-SE"/>
        </w:rPr>
        <w:t>pembaharuan</w:t>
      </w:r>
      <w:proofErr w:type="spellEnd"/>
      <w:r w:rsidRPr="00AD7B58">
        <w:rPr>
          <w:rFonts w:cs="Segoe UI"/>
          <w:sz w:val="20"/>
          <w:szCs w:val="20"/>
          <w:lang w:val="sv-SE"/>
        </w:rPr>
        <w:t xml:space="preserve">. </w:t>
      </w:r>
      <w:r w:rsidRPr="00AD7B58">
        <w:rPr>
          <w:rFonts w:cs="Segoe UI"/>
          <w:sz w:val="20"/>
          <w:szCs w:val="20"/>
          <w:lang w:val="en-ID"/>
        </w:rPr>
        <w:t>Universitas Muhammadiyah Malang Press.</w:t>
      </w:r>
    </w:p>
    <w:p w14:paraId="27BE2E2E" w14:textId="77777777" w:rsidR="00AD7B58" w:rsidRPr="00AD7B58" w:rsidRDefault="00AD7B58" w:rsidP="00AD7B58">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AD7B58">
        <w:rPr>
          <w:rFonts w:cs="Segoe UI"/>
          <w:sz w:val="20"/>
          <w:szCs w:val="20"/>
          <w:lang w:val="en-ID"/>
        </w:rPr>
        <w:lastRenderedPageBreak/>
        <w:t>Wirjono</w:t>
      </w:r>
      <w:proofErr w:type="spellEnd"/>
      <w:r w:rsidRPr="00AD7B58">
        <w:rPr>
          <w:rFonts w:cs="Segoe UI"/>
          <w:sz w:val="20"/>
          <w:szCs w:val="20"/>
          <w:lang w:val="en-ID"/>
        </w:rPr>
        <w:t xml:space="preserve"> </w:t>
      </w:r>
      <w:proofErr w:type="spellStart"/>
      <w:r w:rsidRPr="00AD7B58">
        <w:rPr>
          <w:rFonts w:cs="Segoe UI"/>
          <w:sz w:val="20"/>
          <w:szCs w:val="20"/>
          <w:lang w:val="en-ID"/>
        </w:rPr>
        <w:t>Prodjodikoro</w:t>
      </w:r>
      <w:proofErr w:type="spellEnd"/>
      <w:r w:rsidRPr="00AD7B58">
        <w:rPr>
          <w:rFonts w:cs="Segoe UI"/>
          <w:sz w:val="20"/>
          <w:szCs w:val="20"/>
          <w:lang w:val="en-ID"/>
        </w:rPr>
        <w:t xml:space="preserve">. (1986). </w:t>
      </w:r>
      <w:r w:rsidRPr="00AD7B58">
        <w:rPr>
          <w:rFonts w:cs="Segoe UI"/>
          <w:i/>
          <w:iCs/>
          <w:sz w:val="20"/>
          <w:szCs w:val="20"/>
          <w:lang w:val="en-ID"/>
        </w:rPr>
        <w:t>Asas-</w:t>
      </w:r>
      <w:proofErr w:type="spellStart"/>
      <w:r w:rsidRPr="00AD7B58">
        <w:rPr>
          <w:rFonts w:cs="Segoe UI"/>
          <w:i/>
          <w:iCs/>
          <w:sz w:val="20"/>
          <w:szCs w:val="20"/>
          <w:lang w:val="en-ID"/>
        </w:rPr>
        <w:t>asas</w:t>
      </w:r>
      <w:proofErr w:type="spellEnd"/>
      <w:r w:rsidRPr="00AD7B58">
        <w:rPr>
          <w:rFonts w:cs="Segoe UI"/>
          <w:i/>
          <w:iCs/>
          <w:sz w:val="20"/>
          <w:szCs w:val="20"/>
          <w:lang w:val="en-ID"/>
        </w:rPr>
        <w:t xml:space="preserve"> </w:t>
      </w:r>
      <w:proofErr w:type="spellStart"/>
      <w:r w:rsidRPr="00AD7B58">
        <w:rPr>
          <w:rFonts w:cs="Segoe UI"/>
          <w:i/>
          <w:iCs/>
          <w:sz w:val="20"/>
          <w:szCs w:val="20"/>
          <w:lang w:val="en-ID"/>
        </w:rPr>
        <w:t>hukum</w:t>
      </w:r>
      <w:proofErr w:type="spellEnd"/>
      <w:r w:rsidRPr="00AD7B58">
        <w:rPr>
          <w:rFonts w:cs="Segoe UI"/>
          <w:i/>
          <w:iCs/>
          <w:sz w:val="20"/>
          <w:szCs w:val="20"/>
          <w:lang w:val="en-ID"/>
        </w:rPr>
        <w:t xml:space="preserve"> </w:t>
      </w:r>
      <w:proofErr w:type="spellStart"/>
      <w:r w:rsidRPr="00AD7B58">
        <w:rPr>
          <w:rFonts w:cs="Segoe UI"/>
          <w:i/>
          <w:iCs/>
          <w:sz w:val="20"/>
          <w:szCs w:val="20"/>
          <w:lang w:val="en-ID"/>
        </w:rPr>
        <w:t>pidana</w:t>
      </w:r>
      <w:proofErr w:type="spellEnd"/>
      <w:r w:rsidRPr="00AD7B58">
        <w:rPr>
          <w:rFonts w:cs="Segoe UI"/>
          <w:i/>
          <w:iCs/>
          <w:sz w:val="20"/>
          <w:szCs w:val="20"/>
          <w:lang w:val="en-ID"/>
        </w:rPr>
        <w:t xml:space="preserve"> di Indonesia</w:t>
      </w:r>
      <w:r w:rsidRPr="00AD7B58">
        <w:rPr>
          <w:rFonts w:cs="Segoe UI"/>
          <w:sz w:val="20"/>
          <w:szCs w:val="20"/>
          <w:lang w:val="en-ID"/>
        </w:rPr>
        <w:t xml:space="preserve">. </w:t>
      </w:r>
      <w:proofErr w:type="spellStart"/>
      <w:r w:rsidRPr="00AD7B58">
        <w:rPr>
          <w:rFonts w:cs="Segoe UI"/>
          <w:sz w:val="20"/>
          <w:szCs w:val="20"/>
          <w:lang w:val="en-ID"/>
        </w:rPr>
        <w:t>Eresco</w:t>
      </w:r>
      <w:proofErr w:type="spellEnd"/>
      <w:r w:rsidRPr="00AD7B58">
        <w:rPr>
          <w:rFonts w:cs="Segoe UI"/>
          <w:sz w:val="20"/>
          <w:szCs w:val="20"/>
          <w:lang w:val="en-ID"/>
        </w:rPr>
        <w:t>.</w:t>
      </w:r>
    </w:p>
    <w:p w14:paraId="138A485C" w14:textId="77777777" w:rsidR="00AD7B58" w:rsidRPr="00AD7B58" w:rsidRDefault="00AD7B58" w:rsidP="006C1665">
      <w:pPr>
        <w:widowControl w:val="0"/>
        <w:autoSpaceDE w:val="0"/>
        <w:autoSpaceDN w:val="0"/>
        <w:adjustRightInd w:val="0"/>
        <w:spacing w:after="0" w:line="240" w:lineRule="auto"/>
        <w:ind w:left="1418" w:right="646" w:hanging="851"/>
        <w:contextualSpacing/>
        <w:jc w:val="left"/>
        <w:rPr>
          <w:rFonts w:cs="Segoe UI"/>
          <w:sz w:val="20"/>
          <w:szCs w:val="20"/>
          <w:lang w:val="en-ID"/>
        </w:rPr>
      </w:pPr>
    </w:p>
    <w:p w14:paraId="1F1B5A3F" w14:textId="0A42F299" w:rsidR="00AD7B58" w:rsidRDefault="00AD7B58" w:rsidP="006C1665">
      <w:pPr>
        <w:widowControl w:val="0"/>
        <w:autoSpaceDE w:val="0"/>
        <w:autoSpaceDN w:val="0"/>
        <w:adjustRightInd w:val="0"/>
        <w:spacing w:after="0" w:line="240" w:lineRule="auto"/>
        <w:ind w:left="1418" w:right="646" w:hanging="851"/>
        <w:contextualSpacing/>
        <w:jc w:val="left"/>
        <w:rPr>
          <w:rFonts w:cs="Segoe UI"/>
          <w:sz w:val="20"/>
          <w:szCs w:val="20"/>
        </w:rPr>
      </w:pPr>
      <w:r w:rsidRPr="00AD7B58">
        <w:rPr>
          <w:rFonts w:cs="Segoe UI"/>
          <w:sz w:val="20"/>
          <w:szCs w:val="20"/>
        </w:rPr>
        <w:t xml:space="preserve">Republik Indonesia. (1946). </w:t>
      </w:r>
      <w:r w:rsidRPr="00AD7B58">
        <w:rPr>
          <w:rFonts w:cs="Segoe UI"/>
          <w:i/>
          <w:iCs/>
          <w:sz w:val="20"/>
          <w:szCs w:val="20"/>
        </w:rPr>
        <w:t>Kitab Undang-Undang Hukum Pidana (KUHP)</w:t>
      </w:r>
      <w:r w:rsidRPr="00AD7B58">
        <w:rPr>
          <w:rFonts w:cs="Segoe UI"/>
          <w:sz w:val="20"/>
          <w:szCs w:val="20"/>
        </w:rPr>
        <w:t>, khususnya Pasal 338 dan Pasal 55 ayat (1) ke-1.</w:t>
      </w:r>
    </w:p>
    <w:p w14:paraId="06336B70" w14:textId="07512AC9" w:rsidR="00AD7B58" w:rsidRPr="00AD7B58" w:rsidRDefault="00AD7B58"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AD7B58">
        <w:rPr>
          <w:rFonts w:cs="Segoe UI"/>
          <w:sz w:val="20"/>
          <w:szCs w:val="20"/>
        </w:rPr>
        <w:t xml:space="preserve">Pengadilan Negeri Makassar. (2023). </w:t>
      </w:r>
      <w:r w:rsidRPr="00AD7B58">
        <w:rPr>
          <w:rFonts w:cs="Segoe UI"/>
          <w:i/>
          <w:iCs/>
          <w:sz w:val="20"/>
          <w:szCs w:val="20"/>
        </w:rPr>
        <w:t>Putusan Nomor 713/Pid.B/2023/PN Mks</w:t>
      </w:r>
      <w:r w:rsidRPr="00AD7B58">
        <w:rPr>
          <w:rFonts w:cs="Segoe UI"/>
          <w:sz w:val="20"/>
          <w:szCs w:val="20"/>
        </w:rPr>
        <w:t>.</w:t>
      </w:r>
    </w:p>
    <w:sectPr w:rsidR="00AD7B58" w:rsidRPr="00AD7B5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6F02C" w14:textId="77777777" w:rsidR="001B788A" w:rsidRDefault="001B788A" w:rsidP="009B0AF6">
      <w:pPr>
        <w:spacing w:after="0" w:line="240" w:lineRule="auto"/>
      </w:pPr>
      <w:r>
        <w:separator/>
      </w:r>
    </w:p>
  </w:endnote>
  <w:endnote w:type="continuationSeparator" w:id="0">
    <w:p w14:paraId="51F82A5D" w14:textId="77777777" w:rsidR="001B788A" w:rsidRDefault="001B788A"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5AA6BA6D"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865042" w:rsidRPr="00865042">
          <w:rPr>
            <w:rFonts w:cs="Segoe UI"/>
            <w:noProof/>
            <w:sz w:val="18"/>
            <w:szCs w:val="18"/>
            <w:lang w:val="fi-FI"/>
          </w:rPr>
          <w:t>Yuliana Ampulembang</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1D526" w14:textId="77777777" w:rsidR="001B788A" w:rsidRDefault="001B788A" w:rsidP="009B0AF6">
      <w:pPr>
        <w:spacing w:after="0" w:line="240" w:lineRule="auto"/>
      </w:pPr>
      <w:r>
        <w:separator/>
      </w:r>
    </w:p>
  </w:footnote>
  <w:footnote w:type="continuationSeparator" w:id="0">
    <w:p w14:paraId="086CD384" w14:textId="77777777" w:rsidR="001B788A" w:rsidRDefault="001B788A"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658E1"/>
    <w:rsid w:val="00676A1B"/>
    <w:rsid w:val="00685B04"/>
    <w:rsid w:val="006C1665"/>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B0079C"/>
    <w:rsid w:val="00B024E4"/>
    <w:rsid w:val="00B06DCF"/>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5156</Words>
  <Characters>29390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7</cp:revision>
  <cp:lastPrinted>2023-04-17T18:59:00Z</cp:lastPrinted>
  <dcterms:created xsi:type="dcterms:W3CDTF">2026-01-24T05:16:00Z</dcterms:created>
  <dcterms:modified xsi:type="dcterms:W3CDTF">2026-08-12T10:55:00Z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